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315" w:rsidRDefault="007F1315" w:rsidP="001F112F">
      <w:pPr>
        <w:pStyle w:val="Overskrift1"/>
      </w:pPr>
    </w:p>
    <w:p w:rsidR="007F1315" w:rsidRDefault="007F1315" w:rsidP="001F112F">
      <w:pPr>
        <w:pStyle w:val="Overskrift1"/>
      </w:pPr>
    </w:p>
    <w:p w:rsidR="007F1315" w:rsidRDefault="007F1315" w:rsidP="001F112F">
      <w:pPr>
        <w:pStyle w:val="Overskrift1"/>
      </w:pPr>
    </w:p>
    <w:p w:rsidR="000119BE" w:rsidRDefault="007F1315" w:rsidP="001F112F">
      <w:pPr>
        <w:pStyle w:val="Overskrift1"/>
      </w:pPr>
      <w:r>
        <w:t>Spørsmålene Oslo kommune stilte Microsoft for nærmere redegjørelse av ivaretakelse av krav ved overføring til tredjeland</w:t>
      </w:r>
    </w:p>
    <w:p w:rsidR="007F1315" w:rsidRPr="007F1315" w:rsidRDefault="007F1315" w:rsidP="007F1315">
      <w:r>
        <w:t xml:space="preserve">Disse spørsmålene kan virksomheter benytte seg av i dialog med leverandør for nærmere redegjørelse av leverandørens ivaretakelse av kravene i personvernforordningens </w:t>
      </w:r>
      <w:proofErr w:type="spellStart"/>
      <w:r>
        <w:t>kap</w:t>
      </w:r>
      <w:proofErr w:type="spellEnd"/>
      <w:r>
        <w:t xml:space="preserve">. V og konklusjonen i </w:t>
      </w:r>
      <w:proofErr w:type="spellStart"/>
      <w:r>
        <w:t>Schrems</w:t>
      </w:r>
      <w:proofErr w:type="spellEnd"/>
      <w:r>
        <w:t xml:space="preserve"> II-dommen. Det er viktig at hver virksomhet tilpasser spørsmålene relatert til sin leverandør. </w:t>
      </w:r>
    </w:p>
    <w:p w:rsidR="007F1315" w:rsidRPr="007F1315" w:rsidRDefault="007F1315" w:rsidP="007F1315">
      <w:pPr>
        <w:pStyle w:val="Overskrift2"/>
        <w:rPr>
          <w:rFonts w:eastAsia="Times New Roman"/>
          <w:lang w:eastAsia="nb-NO"/>
        </w:rPr>
      </w:pPr>
      <w:r>
        <w:rPr>
          <w:rFonts w:eastAsia="Times New Roman"/>
          <w:lang w:eastAsia="nb-NO"/>
        </w:rPr>
        <w:t>Spørsmål:</w:t>
      </w:r>
    </w:p>
    <w:p w:rsidR="007F1315" w:rsidRPr="007F1315" w:rsidRDefault="007F1315" w:rsidP="007F1315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b/>
          <w:bCs/>
          <w:sz w:val="22"/>
          <w:lang w:eastAsia="nb-NO"/>
        </w:rPr>
      </w:pPr>
      <w:r w:rsidRPr="007F1315">
        <w:rPr>
          <w:rFonts w:ascii="Calibri" w:eastAsia="Times New Roman" w:hAnsi="Calibri" w:cs="Calibri"/>
          <w:b/>
          <w:bCs/>
          <w:sz w:val="22"/>
          <w:lang w:eastAsia="nb-NO"/>
        </w:rPr>
        <w:t>Transfer</w:t>
      </w:r>
      <w:r w:rsidRPr="007F1315">
        <w:rPr>
          <w:rFonts w:ascii="Calibri" w:eastAsia="Times New Roman" w:hAnsi="Calibri" w:cs="Calibri"/>
          <w:sz w:val="22"/>
          <w:lang w:eastAsia="nb-NO"/>
        </w:rPr>
        <w:t xml:space="preserve">: </w:t>
      </w:r>
    </w:p>
    <w:p w:rsidR="007F1315" w:rsidRPr="007F1315" w:rsidRDefault="007F1315" w:rsidP="007F1315">
      <w:pPr>
        <w:spacing w:after="0" w:line="240" w:lineRule="auto"/>
        <w:ind w:left="540"/>
        <w:rPr>
          <w:rFonts w:ascii="Calibri" w:eastAsia="Times New Roman" w:hAnsi="Calibri" w:cs="Calibri"/>
          <w:sz w:val="22"/>
          <w:lang w:eastAsia="nb-NO"/>
        </w:rPr>
      </w:pPr>
      <w:proofErr w:type="spellStart"/>
      <w:r w:rsidRPr="007F1315">
        <w:rPr>
          <w:rFonts w:ascii="Calibri" w:eastAsia="Times New Roman" w:hAnsi="Calibri" w:cs="Calibri"/>
          <w:sz w:val="22"/>
          <w:lang w:eastAsia="nb-NO"/>
        </w:rPr>
        <w:t>Does</w:t>
      </w:r>
      <w:proofErr w:type="spellEnd"/>
      <w:r w:rsidRPr="007F1315">
        <w:rPr>
          <w:rFonts w:ascii="Calibri" w:eastAsia="Times New Roman" w:hAnsi="Calibri" w:cs="Calibri"/>
          <w:sz w:val="22"/>
          <w:lang w:eastAsia="nb-NO"/>
        </w:rPr>
        <w:t xml:space="preserve"> Microsoft transfer Personal Data to </w:t>
      </w:r>
      <w:proofErr w:type="spellStart"/>
      <w:r w:rsidRPr="007F1315">
        <w:rPr>
          <w:rFonts w:ascii="Calibri" w:eastAsia="Times New Roman" w:hAnsi="Calibri" w:cs="Calibri"/>
          <w:sz w:val="22"/>
          <w:lang w:eastAsia="nb-NO"/>
        </w:rPr>
        <w:t>countries</w:t>
      </w:r>
      <w:proofErr w:type="spellEnd"/>
      <w:r w:rsidRPr="007F1315">
        <w:rPr>
          <w:rFonts w:ascii="Calibri" w:eastAsia="Times New Roman" w:hAnsi="Calibri" w:cs="Calibri"/>
          <w:sz w:val="22"/>
          <w:lang w:eastAsia="nb-NO"/>
        </w:rPr>
        <w:t xml:space="preserve"> </w:t>
      </w:r>
      <w:proofErr w:type="spellStart"/>
      <w:r w:rsidRPr="007F1315">
        <w:rPr>
          <w:rFonts w:ascii="Calibri" w:eastAsia="Times New Roman" w:hAnsi="Calibri" w:cs="Calibri"/>
          <w:sz w:val="22"/>
          <w:lang w:eastAsia="nb-NO"/>
        </w:rPr>
        <w:t>outside</w:t>
      </w:r>
      <w:proofErr w:type="spellEnd"/>
      <w:r w:rsidRPr="007F1315">
        <w:rPr>
          <w:rFonts w:ascii="Calibri" w:eastAsia="Times New Roman" w:hAnsi="Calibri" w:cs="Calibri"/>
          <w:sz w:val="22"/>
          <w:lang w:eastAsia="nb-NO"/>
        </w:rPr>
        <w:t xml:space="preserve"> </w:t>
      </w:r>
      <w:proofErr w:type="spellStart"/>
      <w:r w:rsidRPr="007F1315">
        <w:rPr>
          <w:rFonts w:ascii="Calibri" w:eastAsia="Times New Roman" w:hAnsi="Calibri" w:cs="Calibri"/>
          <w:sz w:val="22"/>
          <w:lang w:eastAsia="nb-NO"/>
        </w:rPr>
        <w:t>of</w:t>
      </w:r>
      <w:proofErr w:type="spellEnd"/>
      <w:r w:rsidRPr="007F1315">
        <w:rPr>
          <w:rFonts w:ascii="Calibri" w:eastAsia="Times New Roman" w:hAnsi="Calibri" w:cs="Calibri"/>
          <w:sz w:val="22"/>
          <w:lang w:eastAsia="nb-NO"/>
        </w:rPr>
        <w:t xml:space="preserve"> </w:t>
      </w:r>
      <w:proofErr w:type="spellStart"/>
      <w:r w:rsidRPr="007F1315">
        <w:rPr>
          <w:rFonts w:ascii="Calibri" w:eastAsia="Times New Roman" w:hAnsi="Calibri" w:cs="Calibri"/>
          <w:sz w:val="22"/>
          <w:lang w:eastAsia="nb-NO"/>
        </w:rPr>
        <w:t>the</w:t>
      </w:r>
      <w:proofErr w:type="spellEnd"/>
      <w:r w:rsidRPr="007F1315">
        <w:rPr>
          <w:rFonts w:ascii="Calibri" w:eastAsia="Times New Roman" w:hAnsi="Calibri" w:cs="Calibri"/>
          <w:sz w:val="22"/>
          <w:lang w:eastAsia="nb-NO"/>
        </w:rPr>
        <w:t xml:space="preserve"> EU/EEA ("Third </w:t>
      </w:r>
      <w:proofErr w:type="spellStart"/>
      <w:r w:rsidRPr="007F1315">
        <w:rPr>
          <w:rFonts w:ascii="Calibri" w:eastAsia="Times New Roman" w:hAnsi="Calibri" w:cs="Calibri"/>
          <w:sz w:val="22"/>
          <w:lang w:eastAsia="nb-NO"/>
        </w:rPr>
        <w:t>Countries</w:t>
      </w:r>
      <w:proofErr w:type="spellEnd"/>
      <w:r w:rsidRPr="007F1315">
        <w:rPr>
          <w:rFonts w:ascii="Calibri" w:eastAsia="Times New Roman" w:hAnsi="Calibri" w:cs="Calibri"/>
          <w:sz w:val="22"/>
          <w:lang w:eastAsia="nb-NO"/>
        </w:rPr>
        <w:t xml:space="preserve">')? If </w:t>
      </w:r>
      <w:proofErr w:type="spellStart"/>
      <w:r w:rsidRPr="007F1315">
        <w:rPr>
          <w:rFonts w:ascii="Calibri" w:eastAsia="Times New Roman" w:hAnsi="Calibri" w:cs="Calibri"/>
          <w:sz w:val="22"/>
          <w:lang w:eastAsia="nb-NO"/>
        </w:rPr>
        <w:t>yes</w:t>
      </w:r>
      <w:proofErr w:type="spellEnd"/>
      <w:r w:rsidRPr="007F1315">
        <w:rPr>
          <w:rFonts w:ascii="Calibri" w:eastAsia="Times New Roman" w:hAnsi="Calibri" w:cs="Calibri"/>
          <w:sz w:val="22"/>
          <w:lang w:eastAsia="nb-NO"/>
        </w:rPr>
        <w:t xml:space="preserve">, to </w:t>
      </w:r>
      <w:proofErr w:type="spellStart"/>
      <w:r w:rsidRPr="007F1315">
        <w:rPr>
          <w:rFonts w:ascii="Calibri" w:eastAsia="Times New Roman" w:hAnsi="Calibri" w:cs="Calibri"/>
          <w:sz w:val="22"/>
          <w:lang w:eastAsia="nb-NO"/>
        </w:rPr>
        <w:t>which</w:t>
      </w:r>
      <w:proofErr w:type="spellEnd"/>
      <w:r w:rsidRPr="007F1315">
        <w:rPr>
          <w:rFonts w:ascii="Calibri" w:eastAsia="Times New Roman" w:hAnsi="Calibri" w:cs="Calibri"/>
          <w:sz w:val="22"/>
          <w:lang w:eastAsia="nb-NO"/>
        </w:rPr>
        <w:t xml:space="preserve"> </w:t>
      </w:r>
      <w:proofErr w:type="spellStart"/>
      <w:r w:rsidRPr="007F1315">
        <w:rPr>
          <w:rFonts w:ascii="Calibri" w:eastAsia="Times New Roman" w:hAnsi="Calibri" w:cs="Calibri"/>
          <w:sz w:val="22"/>
          <w:lang w:eastAsia="nb-NO"/>
        </w:rPr>
        <w:t>countries</w:t>
      </w:r>
      <w:proofErr w:type="spellEnd"/>
      <w:r w:rsidRPr="007F1315">
        <w:rPr>
          <w:rFonts w:ascii="Calibri" w:eastAsia="Times New Roman" w:hAnsi="Calibri" w:cs="Calibri"/>
          <w:sz w:val="22"/>
          <w:lang w:eastAsia="nb-NO"/>
        </w:rPr>
        <w:t>?</w:t>
      </w:r>
    </w:p>
    <w:p w:rsidR="007F1315" w:rsidRPr="007F1315" w:rsidRDefault="007F1315" w:rsidP="007F1315">
      <w:pPr>
        <w:spacing w:after="0" w:line="240" w:lineRule="auto"/>
        <w:ind w:left="540"/>
        <w:rPr>
          <w:rFonts w:ascii="Calibri" w:eastAsia="Times New Roman" w:hAnsi="Calibri" w:cs="Calibri"/>
          <w:sz w:val="22"/>
          <w:lang w:eastAsia="nb-NO"/>
        </w:rPr>
      </w:pPr>
      <w:r w:rsidRPr="007F1315">
        <w:rPr>
          <w:rFonts w:ascii="Calibri" w:eastAsia="Times New Roman" w:hAnsi="Calibri" w:cs="Calibri"/>
          <w:sz w:val="22"/>
          <w:lang w:eastAsia="nb-NO"/>
        </w:rPr>
        <w:t> </w:t>
      </w:r>
    </w:p>
    <w:p w:rsidR="007F1315" w:rsidRPr="007F1315" w:rsidRDefault="007F1315" w:rsidP="007F1315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b/>
          <w:bCs/>
          <w:sz w:val="22"/>
          <w:lang w:eastAsia="nb-NO"/>
        </w:rPr>
      </w:pPr>
      <w:r w:rsidRPr="007F1315">
        <w:rPr>
          <w:rFonts w:ascii="Calibri" w:eastAsia="Times New Roman" w:hAnsi="Calibri" w:cs="Calibri"/>
          <w:b/>
          <w:bCs/>
          <w:sz w:val="22"/>
          <w:lang w:eastAsia="nb-NO"/>
        </w:rPr>
        <w:t xml:space="preserve">Transfer </w:t>
      </w:r>
      <w:proofErr w:type="spellStart"/>
      <w:r w:rsidRPr="007F1315">
        <w:rPr>
          <w:rFonts w:ascii="Calibri" w:eastAsia="Times New Roman" w:hAnsi="Calibri" w:cs="Calibri"/>
          <w:b/>
          <w:bCs/>
          <w:sz w:val="22"/>
          <w:lang w:eastAsia="nb-NO"/>
        </w:rPr>
        <w:t>tool</w:t>
      </w:r>
      <w:proofErr w:type="spellEnd"/>
    </w:p>
    <w:p w:rsidR="007F1315" w:rsidRPr="007F1315" w:rsidRDefault="007F1315" w:rsidP="007F1315">
      <w:pPr>
        <w:spacing w:after="0" w:line="240" w:lineRule="auto"/>
        <w:ind w:left="540"/>
        <w:rPr>
          <w:rFonts w:ascii="Calibri" w:eastAsia="Times New Roman" w:hAnsi="Calibri" w:cs="Calibri"/>
          <w:sz w:val="22"/>
          <w:lang w:eastAsia="nb-NO"/>
        </w:rPr>
      </w:pPr>
      <w:proofErr w:type="spellStart"/>
      <w:r w:rsidRPr="007F1315">
        <w:rPr>
          <w:rFonts w:ascii="Calibri" w:eastAsia="Times New Roman" w:hAnsi="Calibri" w:cs="Calibri"/>
          <w:sz w:val="22"/>
          <w:lang w:eastAsia="nb-NO"/>
        </w:rPr>
        <w:t>What</w:t>
      </w:r>
      <w:proofErr w:type="spellEnd"/>
      <w:r w:rsidRPr="007F1315">
        <w:rPr>
          <w:rFonts w:ascii="Calibri" w:eastAsia="Times New Roman" w:hAnsi="Calibri" w:cs="Calibri"/>
          <w:sz w:val="22"/>
          <w:lang w:eastAsia="nb-NO"/>
        </w:rPr>
        <w:t xml:space="preserve"> is </w:t>
      </w:r>
      <w:proofErr w:type="spellStart"/>
      <w:r w:rsidRPr="007F1315">
        <w:rPr>
          <w:rFonts w:ascii="Calibri" w:eastAsia="Times New Roman" w:hAnsi="Calibri" w:cs="Calibri"/>
          <w:sz w:val="22"/>
          <w:lang w:eastAsia="nb-NO"/>
        </w:rPr>
        <w:t>the</w:t>
      </w:r>
      <w:proofErr w:type="spellEnd"/>
      <w:r w:rsidRPr="007F1315">
        <w:rPr>
          <w:rFonts w:ascii="Calibri" w:eastAsia="Times New Roman" w:hAnsi="Calibri" w:cs="Calibri"/>
          <w:sz w:val="22"/>
          <w:lang w:eastAsia="nb-NO"/>
        </w:rPr>
        <w:t xml:space="preserve"> legal basis </w:t>
      </w:r>
      <w:proofErr w:type="spellStart"/>
      <w:r w:rsidRPr="007F1315">
        <w:rPr>
          <w:rFonts w:ascii="Calibri" w:eastAsia="Times New Roman" w:hAnsi="Calibri" w:cs="Calibri"/>
          <w:sz w:val="22"/>
          <w:lang w:eastAsia="nb-NO"/>
        </w:rPr>
        <w:t>relied</w:t>
      </w:r>
      <w:proofErr w:type="spellEnd"/>
      <w:r w:rsidRPr="007F1315">
        <w:rPr>
          <w:rFonts w:ascii="Calibri" w:eastAsia="Times New Roman" w:hAnsi="Calibri" w:cs="Calibri"/>
          <w:sz w:val="22"/>
          <w:lang w:eastAsia="nb-NO"/>
        </w:rPr>
        <w:t xml:space="preserve"> </w:t>
      </w:r>
      <w:proofErr w:type="spellStart"/>
      <w:r w:rsidRPr="007F1315">
        <w:rPr>
          <w:rFonts w:ascii="Calibri" w:eastAsia="Times New Roman" w:hAnsi="Calibri" w:cs="Calibri"/>
          <w:sz w:val="22"/>
          <w:lang w:eastAsia="nb-NO"/>
        </w:rPr>
        <w:t>on</w:t>
      </w:r>
      <w:proofErr w:type="spellEnd"/>
      <w:r w:rsidRPr="007F1315">
        <w:rPr>
          <w:rFonts w:ascii="Calibri" w:eastAsia="Times New Roman" w:hAnsi="Calibri" w:cs="Calibri"/>
          <w:sz w:val="22"/>
          <w:lang w:eastAsia="nb-NO"/>
        </w:rPr>
        <w:t xml:space="preserve"> for </w:t>
      </w:r>
      <w:proofErr w:type="spellStart"/>
      <w:r w:rsidRPr="007F1315">
        <w:rPr>
          <w:rFonts w:ascii="Calibri" w:eastAsia="Times New Roman" w:hAnsi="Calibri" w:cs="Calibri"/>
          <w:sz w:val="22"/>
          <w:lang w:eastAsia="nb-NO"/>
        </w:rPr>
        <w:t>each</w:t>
      </w:r>
      <w:proofErr w:type="spellEnd"/>
      <w:r w:rsidRPr="007F1315">
        <w:rPr>
          <w:rFonts w:ascii="Calibri" w:eastAsia="Times New Roman" w:hAnsi="Calibri" w:cs="Calibri"/>
          <w:sz w:val="22"/>
          <w:lang w:eastAsia="nb-NO"/>
        </w:rPr>
        <w:t xml:space="preserve"> transfer to </w:t>
      </w:r>
      <w:proofErr w:type="spellStart"/>
      <w:r w:rsidRPr="007F1315">
        <w:rPr>
          <w:rFonts w:ascii="Calibri" w:eastAsia="Times New Roman" w:hAnsi="Calibri" w:cs="Calibri"/>
          <w:sz w:val="22"/>
          <w:lang w:eastAsia="nb-NO"/>
        </w:rPr>
        <w:t>the</w:t>
      </w:r>
      <w:proofErr w:type="spellEnd"/>
      <w:r w:rsidRPr="007F1315">
        <w:rPr>
          <w:rFonts w:ascii="Calibri" w:eastAsia="Times New Roman" w:hAnsi="Calibri" w:cs="Calibri"/>
          <w:sz w:val="22"/>
          <w:lang w:eastAsia="nb-NO"/>
        </w:rPr>
        <w:t xml:space="preserve"> Third </w:t>
      </w:r>
      <w:proofErr w:type="spellStart"/>
      <w:r w:rsidRPr="007F1315">
        <w:rPr>
          <w:rFonts w:ascii="Calibri" w:eastAsia="Times New Roman" w:hAnsi="Calibri" w:cs="Calibri"/>
          <w:sz w:val="22"/>
          <w:lang w:eastAsia="nb-NO"/>
        </w:rPr>
        <w:t>Countries</w:t>
      </w:r>
      <w:proofErr w:type="spellEnd"/>
      <w:r w:rsidRPr="007F1315">
        <w:rPr>
          <w:rFonts w:ascii="Calibri" w:eastAsia="Times New Roman" w:hAnsi="Calibri" w:cs="Calibri"/>
          <w:sz w:val="22"/>
          <w:lang w:eastAsia="nb-NO"/>
        </w:rPr>
        <w:t xml:space="preserve"> (</w:t>
      </w:r>
      <w:proofErr w:type="spellStart"/>
      <w:r w:rsidRPr="007F1315">
        <w:rPr>
          <w:rFonts w:ascii="Calibri" w:eastAsia="Times New Roman" w:hAnsi="Calibri" w:cs="Calibri"/>
          <w:sz w:val="22"/>
          <w:lang w:eastAsia="nb-NO"/>
        </w:rPr>
        <w:t>e.q</w:t>
      </w:r>
      <w:proofErr w:type="spellEnd"/>
      <w:r w:rsidRPr="007F1315">
        <w:rPr>
          <w:rFonts w:ascii="Calibri" w:eastAsia="Times New Roman" w:hAnsi="Calibri" w:cs="Calibri"/>
          <w:sz w:val="22"/>
          <w:lang w:eastAsia="nb-NO"/>
        </w:rPr>
        <w:t xml:space="preserve">. Standard </w:t>
      </w:r>
      <w:proofErr w:type="spellStart"/>
      <w:r w:rsidRPr="007F1315">
        <w:rPr>
          <w:rFonts w:ascii="Calibri" w:eastAsia="Times New Roman" w:hAnsi="Calibri" w:cs="Calibri"/>
          <w:sz w:val="22"/>
          <w:lang w:eastAsia="nb-NO"/>
        </w:rPr>
        <w:t>Contractual</w:t>
      </w:r>
      <w:proofErr w:type="spellEnd"/>
      <w:r w:rsidRPr="007F1315">
        <w:rPr>
          <w:rFonts w:ascii="Calibri" w:eastAsia="Times New Roman" w:hAnsi="Calibri" w:cs="Calibri"/>
          <w:sz w:val="22"/>
          <w:lang w:eastAsia="nb-NO"/>
        </w:rPr>
        <w:t xml:space="preserve"> </w:t>
      </w:r>
      <w:proofErr w:type="spellStart"/>
      <w:r w:rsidRPr="007F1315">
        <w:rPr>
          <w:rFonts w:ascii="Calibri" w:eastAsia="Times New Roman" w:hAnsi="Calibri" w:cs="Calibri"/>
          <w:sz w:val="22"/>
          <w:lang w:eastAsia="nb-NO"/>
        </w:rPr>
        <w:t>Clauses</w:t>
      </w:r>
      <w:proofErr w:type="spellEnd"/>
      <w:r w:rsidRPr="007F1315">
        <w:rPr>
          <w:rFonts w:ascii="Calibri" w:eastAsia="Times New Roman" w:hAnsi="Calibri" w:cs="Calibri"/>
          <w:sz w:val="22"/>
          <w:lang w:eastAsia="nb-NO"/>
        </w:rPr>
        <w:t xml:space="preserve">. Binding </w:t>
      </w:r>
      <w:proofErr w:type="spellStart"/>
      <w:r w:rsidRPr="007F1315">
        <w:rPr>
          <w:rFonts w:ascii="Calibri" w:eastAsia="Times New Roman" w:hAnsi="Calibri" w:cs="Calibri"/>
          <w:sz w:val="22"/>
          <w:lang w:eastAsia="nb-NO"/>
        </w:rPr>
        <w:t>Corporate</w:t>
      </w:r>
      <w:proofErr w:type="spellEnd"/>
      <w:r w:rsidRPr="007F1315">
        <w:rPr>
          <w:rFonts w:ascii="Calibri" w:eastAsia="Times New Roman" w:hAnsi="Calibri" w:cs="Calibri"/>
          <w:sz w:val="22"/>
          <w:lang w:eastAsia="nb-NO"/>
        </w:rPr>
        <w:t xml:space="preserve"> </w:t>
      </w:r>
      <w:proofErr w:type="spellStart"/>
      <w:r w:rsidRPr="007F1315">
        <w:rPr>
          <w:rFonts w:ascii="Calibri" w:eastAsia="Times New Roman" w:hAnsi="Calibri" w:cs="Calibri"/>
          <w:sz w:val="22"/>
          <w:lang w:eastAsia="nb-NO"/>
        </w:rPr>
        <w:t>rules</w:t>
      </w:r>
      <w:proofErr w:type="spellEnd"/>
      <w:r w:rsidRPr="007F1315">
        <w:rPr>
          <w:rFonts w:ascii="Calibri" w:eastAsia="Times New Roman" w:hAnsi="Calibri" w:cs="Calibri"/>
          <w:sz w:val="22"/>
          <w:lang w:eastAsia="nb-NO"/>
        </w:rPr>
        <w:t xml:space="preserve">, </w:t>
      </w:r>
      <w:proofErr w:type="spellStart"/>
      <w:r w:rsidRPr="007F1315">
        <w:rPr>
          <w:rFonts w:ascii="Calibri" w:eastAsia="Times New Roman" w:hAnsi="Calibri" w:cs="Calibri"/>
          <w:sz w:val="22"/>
          <w:lang w:eastAsia="nb-NO"/>
        </w:rPr>
        <w:t>adequacy</w:t>
      </w:r>
      <w:proofErr w:type="spellEnd"/>
      <w:r w:rsidRPr="007F1315">
        <w:rPr>
          <w:rFonts w:ascii="Calibri" w:eastAsia="Times New Roman" w:hAnsi="Calibri" w:cs="Calibri"/>
          <w:sz w:val="22"/>
          <w:lang w:eastAsia="nb-NO"/>
        </w:rPr>
        <w:t xml:space="preserve"> </w:t>
      </w:r>
      <w:proofErr w:type="spellStart"/>
      <w:r w:rsidRPr="007F1315">
        <w:rPr>
          <w:rFonts w:ascii="Calibri" w:eastAsia="Times New Roman" w:hAnsi="Calibri" w:cs="Calibri"/>
          <w:sz w:val="22"/>
          <w:lang w:eastAsia="nb-NO"/>
        </w:rPr>
        <w:t>decisions</w:t>
      </w:r>
      <w:proofErr w:type="spellEnd"/>
      <w:r w:rsidRPr="007F1315">
        <w:rPr>
          <w:rFonts w:ascii="Calibri" w:eastAsia="Times New Roman" w:hAnsi="Calibri" w:cs="Calibri"/>
          <w:sz w:val="22"/>
          <w:lang w:eastAsia="nb-NO"/>
        </w:rPr>
        <w:t xml:space="preserve">, </w:t>
      </w:r>
      <w:proofErr w:type="spellStart"/>
      <w:r w:rsidRPr="007F1315">
        <w:rPr>
          <w:rFonts w:ascii="Calibri" w:eastAsia="Times New Roman" w:hAnsi="Calibri" w:cs="Calibri"/>
          <w:sz w:val="22"/>
          <w:lang w:eastAsia="nb-NO"/>
        </w:rPr>
        <w:t>derogations</w:t>
      </w:r>
      <w:proofErr w:type="spellEnd"/>
      <w:r w:rsidRPr="007F1315">
        <w:rPr>
          <w:rFonts w:ascii="Calibri" w:eastAsia="Times New Roman" w:hAnsi="Calibri" w:cs="Calibri"/>
          <w:sz w:val="22"/>
          <w:lang w:eastAsia="nb-NO"/>
        </w:rPr>
        <w:t xml:space="preserve"> etc.?)</w:t>
      </w:r>
    </w:p>
    <w:p w:rsidR="007F1315" w:rsidRPr="007F1315" w:rsidRDefault="007F1315" w:rsidP="007F1315">
      <w:pPr>
        <w:spacing w:after="0" w:line="240" w:lineRule="auto"/>
        <w:ind w:left="540"/>
        <w:rPr>
          <w:rFonts w:ascii="Calibri" w:eastAsia="Times New Roman" w:hAnsi="Calibri" w:cs="Calibri"/>
          <w:sz w:val="22"/>
          <w:lang w:eastAsia="nb-NO"/>
        </w:rPr>
      </w:pPr>
      <w:r w:rsidRPr="007F1315">
        <w:rPr>
          <w:rFonts w:ascii="Calibri" w:eastAsia="Times New Roman" w:hAnsi="Calibri" w:cs="Calibri"/>
          <w:sz w:val="22"/>
          <w:lang w:eastAsia="nb-NO"/>
        </w:rPr>
        <w:t> </w:t>
      </w:r>
    </w:p>
    <w:p w:rsidR="007F1315" w:rsidRPr="007F1315" w:rsidRDefault="007F1315" w:rsidP="007F1315">
      <w:pPr>
        <w:numPr>
          <w:ilvl w:val="0"/>
          <w:numId w:val="4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b/>
          <w:bCs/>
          <w:sz w:val="22"/>
          <w:lang w:eastAsia="nb-NO"/>
        </w:rPr>
      </w:pPr>
      <w:proofErr w:type="spellStart"/>
      <w:r w:rsidRPr="007F1315">
        <w:rPr>
          <w:rFonts w:ascii="Calibri" w:eastAsia="Times New Roman" w:hAnsi="Calibri" w:cs="Calibri"/>
          <w:b/>
          <w:bCs/>
          <w:sz w:val="22"/>
          <w:lang w:eastAsia="nb-NO"/>
        </w:rPr>
        <w:t>Article</w:t>
      </w:r>
      <w:proofErr w:type="spellEnd"/>
      <w:r w:rsidRPr="007F1315">
        <w:rPr>
          <w:rFonts w:ascii="Calibri" w:eastAsia="Times New Roman" w:hAnsi="Calibri" w:cs="Calibri"/>
          <w:b/>
          <w:bCs/>
          <w:sz w:val="22"/>
          <w:lang w:eastAsia="nb-NO"/>
        </w:rPr>
        <w:t xml:space="preserve"> 46 GDPR </w:t>
      </w:r>
      <w:proofErr w:type="spellStart"/>
      <w:r w:rsidRPr="007F1315">
        <w:rPr>
          <w:rFonts w:ascii="Calibri" w:eastAsia="Times New Roman" w:hAnsi="Calibri" w:cs="Calibri"/>
          <w:b/>
          <w:bCs/>
          <w:sz w:val="22"/>
          <w:lang w:eastAsia="nb-NO"/>
        </w:rPr>
        <w:t>assessment</w:t>
      </w:r>
      <w:proofErr w:type="spellEnd"/>
    </w:p>
    <w:p w:rsidR="007F1315" w:rsidRPr="007F1315" w:rsidRDefault="007F1315" w:rsidP="007F1315">
      <w:pPr>
        <w:spacing w:after="0" w:line="240" w:lineRule="auto"/>
        <w:ind w:left="540"/>
        <w:rPr>
          <w:rFonts w:ascii="Calibri" w:eastAsia="Times New Roman" w:hAnsi="Calibri" w:cs="Calibri"/>
          <w:sz w:val="22"/>
          <w:lang w:eastAsia="nb-NO"/>
        </w:rPr>
      </w:pPr>
      <w:r w:rsidRPr="007F1315">
        <w:rPr>
          <w:rFonts w:ascii="Calibri" w:eastAsia="Times New Roman" w:hAnsi="Calibri" w:cs="Calibri"/>
          <w:sz w:val="22"/>
          <w:lang w:eastAsia="nb-NO"/>
        </w:rPr>
        <w:t xml:space="preserve">In </w:t>
      </w:r>
      <w:proofErr w:type="spellStart"/>
      <w:r w:rsidRPr="007F1315">
        <w:rPr>
          <w:rFonts w:ascii="Calibri" w:eastAsia="Times New Roman" w:hAnsi="Calibri" w:cs="Calibri"/>
          <w:sz w:val="22"/>
          <w:lang w:eastAsia="nb-NO"/>
        </w:rPr>
        <w:t>the</w:t>
      </w:r>
      <w:proofErr w:type="spellEnd"/>
      <w:r w:rsidRPr="007F1315">
        <w:rPr>
          <w:rFonts w:ascii="Calibri" w:eastAsia="Times New Roman" w:hAnsi="Calibri" w:cs="Calibri"/>
          <w:sz w:val="22"/>
          <w:lang w:eastAsia="nb-NO"/>
        </w:rPr>
        <w:t xml:space="preserve"> </w:t>
      </w:r>
      <w:proofErr w:type="spellStart"/>
      <w:r w:rsidRPr="007F1315">
        <w:rPr>
          <w:rFonts w:ascii="Calibri" w:eastAsia="Times New Roman" w:hAnsi="Calibri" w:cs="Calibri"/>
          <w:sz w:val="22"/>
          <w:lang w:eastAsia="nb-NO"/>
        </w:rPr>
        <w:t>event</w:t>
      </w:r>
      <w:proofErr w:type="spellEnd"/>
      <w:r w:rsidRPr="007F1315">
        <w:rPr>
          <w:rFonts w:ascii="Calibri" w:eastAsia="Times New Roman" w:hAnsi="Calibri" w:cs="Calibri"/>
          <w:sz w:val="22"/>
          <w:lang w:eastAsia="nb-NO"/>
        </w:rPr>
        <w:t xml:space="preserve"> a transfer </w:t>
      </w:r>
      <w:proofErr w:type="spellStart"/>
      <w:r w:rsidRPr="007F1315">
        <w:rPr>
          <w:rFonts w:ascii="Calibri" w:eastAsia="Times New Roman" w:hAnsi="Calibri" w:cs="Calibri"/>
          <w:sz w:val="22"/>
          <w:lang w:eastAsia="nb-NO"/>
        </w:rPr>
        <w:t>mechanism</w:t>
      </w:r>
      <w:proofErr w:type="spellEnd"/>
      <w:r w:rsidRPr="007F1315">
        <w:rPr>
          <w:rFonts w:ascii="Calibri" w:eastAsia="Times New Roman" w:hAnsi="Calibri" w:cs="Calibri"/>
          <w:sz w:val="22"/>
          <w:lang w:eastAsia="nb-NO"/>
        </w:rPr>
        <w:t xml:space="preserve"> in </w:t>
      </w:r>
      <w:proofErr w:type="spellStart"/>
      <w:r w:rsidRPr="007F1315">
        <w:rPr>
          <w:rFonts w:ascii="Calibri" w:eastAsia="Times New Roman" w:hAnsi="Calibri" w:cs="Calibri"/>
          <w:sz w:val="22"/>
          <w:lang w:eastAsia="nb-NO"/>
        </w:rPr>
        <w:t>Article</w:t>
      </w:r>
      <w:proofErr w:type="spellEnd"/>
      <w:r w:rsidRPr="007F1315">
        <w:rPr>
          <w:rFonts w:ascii="Calibri" w:eastAsia="Times New Roman" w:hAnsi="Calibri" w:cs="Calibri"/>
          <w:sz w:val="22"/>
          <w:lang w:eastAsia="nb-NO"/>
        </w:rPr>
        <w:t xml:space="preserve"> 46 GDPR is </w:t>
      </w:r>
      <w:proofErr w:type="spellStart"/>
      <w:r w:rsidRPr="007F1315">
        <w:rPr>
          <w:rFonts w:ascii="Calibri" w:eastAsia="Times New Roman" w:hAnsi="Calibri" w:cs="Calibri"/>
          <w:sz w:val="22"/>
          <w:lang w:eastAsia="nb-NO"/>
        </w:rPr>
        <w:t>relied</w:t>
      </w:r>
      <w:proofErr w:type="spellEnd"/>
      <w:r w:rsidRPr="007F1315">
        <w:rPr>
          <w:rFonts w:ascii="Calibri" w:eastAsia="Times New Roman" w:hAnsi="Calibri" w:cs="Calibri"/>
          <w:sz w:val="22"/>
          <w:lang w:eastAsia="nb-NO"/>
        </w:rPr>
        <w:t xml:space="preserve"> </w:t>
      </w:r>
      <w:proofErr w:type="spellStart"/>
      <w:r w:rsidRPr="007F1315">
        <w:rPr>
          <w:rFonts w:ascii="Calibri" w:eastAsia="Times New Roman" w:hAnsi="Calibri" w:cs="Calibri"/>
          <w:sz w:val="22"/>
          <w:lang w:eastAsia="nb-NO"/>
        </w:rPr>
        <w:t>on</w:t>
      </w:r>
      <w:proofErr w:type="spellEnd"/>
      <w:r w:rsidRPr="007F1315">
        <w:rPr>
          <w:rFonts w:ascii="Calibri" w:eastAsia="Times New Roman" w:hAnsi="Calibri" w:cs="Calibri"/>
          <w:sz w:val="22"/>
          <w:lang w:eastAsia="nb-NO"/>
        </w:rPr>
        <w:t xml:space="preserve">, is </w:t>
      </w:r>
      <w:proofErr w:type="spellStart"/>
      <w:r w:rsidRPr="007F1315">
        <w:rPr>
          <w:rFonts w:ascii="Calibri" w:eastAsia="Times New Roman" w:hAnsi="Calibri" w:cs="Calibri"/>
          <w:sz w:val="22"/>
          <w:lang w:eastAsia="nb-NO"/>
        </w:rPr>
        <w:t>there</w:t>
      </w:r>
      <w:proofErr w:type="spellEnd"/>
      <w:r w:rsidRPr="007F1315">
        <w:rPr>
          <w:rFonts w:ascii="Calibri" w:eastAsia="Times New Roman" w:hAnsi="Calibri" w:cs="Calibri"/>
          <w:sz w:val="22"/>
          <w:lang w:eastAsia="nb-NO"/>
        </w:rPr>
        <w:t xml:space="preserve"> </w:t>
      </w:r>
      <w:proofErr w:type="spellStart"/>
      <w:r w:rsidRPr="007F1315">
        <w:rPr>
          <w:rFonts w:ascii="Calibri" w:eastAsia="Times New Roman" w:hAnsi="Calibri" w:cs="Calibri"/>
          <w:sz w:val="22"/>
          <w:lang w:eastAsia="nb-NO"/>
        </w:rPr>
        <w:t>anything</w:t>
      </w:r>
      <w:proofErr w:type="spellEnd"/>
      <w:r w:rsidRPr="007F1315">
        <w:rPr>
          <w:rFonts w:ascii="Calibri" w:eastAsia="Times New Roman" w:hAnsi="Calibri" w:cs="Calibri"/>
          <w:sz w:val="22"/>
          <w:lang w:eastAsia="nb-NO"/>
        </w:rPr>
        <w:t xml:space="preserve"> in </w:t>
      </w:r>
      <w:proofErr w:type="spellStart"/>
      <w:r w:rsidRPr="007F1315">
        <w:rPr>
          <w:rFonts w:ascii="Calibri" w:eastAsia="Times New Roman" w:hAnsi="Calibri" w:cs="Calibri"/>
          <w:sz w:val="22"/>
          <w:lang w:eastAsia="nb-NO"/>
        </w:rPr>
        <w:t>the</w:t>
      </w:r>
      <w:proofErr w:type="spellEnd"/>
      <w:r w:rsidRPr="007F1315">
        <w:rPr>
          <w:rFonts w:ascii="Calibri" w:eastAsia="Times New Roman" w:hAnsi="Calibri" w:cs="Calibri"/>
          <w:sz w:val="22"/>
          <w:lang w:eastAsia="nb-NO"/>
        </w:rPr>
        <w:t xml:space="preserve"> or </w:t>
      </w:r>
      <w:proofErr w:type="spellStart"/>
      <w:r w:rsidRPr="007F1315">
        <w:rPr>
          <w:rFonts w:ascii="Calibri" w:eastAsia="Times New Roman" w:hAnsi="Calibri" w:cs="Calibri"/>
          <w:sz w:val="22"/>
          <w:lang w:eastAsia="nb-NO"/>
        </w:rPr>
        <w:t>practice</w:t>
      </w:r>
      <w:proofErr w:type="spellEnd"/>
      <w:r w:rsidRPr="007F1315">
        <w:rPr>
          <w:rFonts w:ascii="Calibri" w:eastAsia="Times New Roman" w:hAnsi="Calibri" w:cs="Calibri"/>
          <w:sz w:val="22"/>
          <w:lang w:eastAsia="nb-NO"/>
        </w:rPr>
        <w:t xml:space="preserve"> </w:t>
      </w:r>
      <w:proofErr w:type="spellStart"/>
      <w:r w:rsidRPr="007F1315">
        <w:rPr>
          <w:rFonts w:ascii="Calibri" w:eastAsia="Times New Roman" w:hAnsi="Calibri" w:cs="Calibri"/>
          <w:sz w:val="22"/>
          <w:lang w:eastAsia="nb-NO"/>
        </w:rPr>
        <w:t>of</w:t>
      </w:r>
      <w:proofErr w:type="spellEnd"/>
      <w:r w:rsidRPr="007F1315">
        <w:rPr>
          <w:rFonts w:ascii="Calibri" w:eastAsia="Times New Roman" w:hAnsi="Calibri" w:cs="Calibri"/>
          <w:sz w:val="22"/>
          <w:lang w:eastAsia="nb-NO"/>
        </w:rPr>
        <w:t xml:space="preserve"> </w:t>
      </w:r>
      <w:proofErr w:type="spellStart"/>
      <w:r w:rsidRPr="007F1315">
        <w:rPr>
          <w:rFonts w:ascii="Calibri" w:eastAsia="Times New Roman" w:hAnsi="Calibri" w:cs="Calibri"/>
          <w:sz w:val="22"/>
          <w:lang w:eastAsia="nb-NO"/>
        </w:rPr>
        <w:t>the</w:t>
      </w:r>
      <w:proofErr w:type="spellEnd"/>
      <w:r w:rsidRPr="007F1315">
        <w:rPr>
          <w:rFonts w:ascii="Calibri" w:eastAsia="Times New Roman" w:hAnsi="Calibri" w:cs="Calibri"/>
          <w:sz w:val="22"/>
          <w:lang w:eastAsia="nb-NO"/>
        </w:rPr>
        <w:t xml:space="preserve"> Third </w:t>
      </w:r>
      <w:proofErr w:type="spellStart"/>
      <w:r w:rsidRPr="007F1315">
        <w:rPr>
          <w:rFonts w:ascii="Calibri" w:eastAsia="Times New Roman" w:hAnsi="Calibri" w:cs="Calibri"/>
          <w:sz w:val="22"/>
          <w:lang w:eastAsia="nb-NO"/>
        </w:rPr>
        <w:t>Countries</w:t>
      </w:r>
      <w:proofErr w:type="spellEnd"/>
      <w:r w:rsidRPr="007F1315">
        <w:rPr>
          <w:rFonts w:ascii="Calibri" w:eastAsia="Times New Roman" w:hAnsi="Calibri" w:cs="Calibri"/>
          <w:sz w:val="22"/>
          <w:lang w:eastAsia="nb-NO"/>
        </w:rPr>
        <w:t xml:space="preserve"> </w:t>
      </w:r>
      <w:proofErr w:type="spellStart"/>
      <w:r w:rsidRPr="007F1315">
        <w:rPr>
          <w:rFonts w:ascii="Calibri" w:eastAsia="Times New Roman" w:hAnsi="Calibri" w:cs="Calibri"/>
          <w:sz w:val="22"/>
          <w:lang w:eastAsia="nb-NO"/>
        </w:rPr>
        <w:t>that</w:t>
      </w:r>
      <w:proofErr w:type="spellEnd"/>
      <w:r w:rsidRPr="007F1315">
        <w:rPr>
          <w:rFonts w:ascii="Calibri" w:eastAsia="Times New Roman" w:hAnsi="Calibri" w:cs="Calibri"/>
          <w:sz w:val="22"/>
          <w:lang w:eastAsia="nb-NO"/>
        </w:rPr>
        <w:t xml:space="preserve"> </w:t>
      </w:r>
      <w:proofErr w:type="spellStart"/>
      <w:r w:rsidRPr="007F1315">
        <w:rPr>
          <w:rFonts w:ascii="Calibri" w:eastAsia="Times New Roman" w:hAnsi="Calibri" w:cs="Calibri"/>
          <w:sz w:val="22"/>
          <w:lang w:eastAsia="nb-NO"/>
        </w:rPr>
        <w:t>may</w:t>
      </w:r>
      <w:proofErr w:type="spellEnd"/>
      <w:r w:rsidRPr="007F1315">
        <w:rPr>
          <w:rFonts w:ascii="Calibri" w:eastAsia="Times New Roman" w:hAnsi="Calibri" w:cs="Calibri"/>
          <w:sz w:val="22"/>
          <w:lang w:eastAsia="nb-NO"/>
        </w:rPr>
        <w:t xml:space="preserve"> </w:t>
      </w:r>
      <w:proofErr w:type="spellStart"/>
      <w:r w:rsidRPr="007F1315">
        <w:rPr>
          <w:rFonts w:ascii="Calibri" w:eastAsia="Times New Roman" w:hAnsi="Calibri" w:cs="Calibri"/>
          <w:sz w:val="22"/>
          <w:lang w:eastAsia="nb-NO"/>
        </w:rPr>
        <w:t>impinge</w:t>
      </w:r>
      <w:proofErr w:type="spellEnd"/>
      <w:r w:rsidRPr="007F1315">
        <w:rPr>
          <w:rFonts w:ascii="Calibri" w:eastAsia="Times New Roman" w:hAnsi="Calibri" w:cs="Calibri"/>
          <w:sz w:val="22"/>
          <w:lang w:eastAsia="nb-NO"/>
        </w:rPr>
        <w:t xml:space="preserve"> </w:t>
      </w:r>
      <w:proofErr w:type="spellStart"/>
      <w:r w:rsidRPr="007F1315">
        <w:rPr>
          <w:rFonts w:ascii="Calibri" w:eastAsia="Times New Roman" w:hAnsi="Calibri" w:cs="Calibri"/>
          <w:sz w:val="22"/>
          <w:lang w:eastAsia="nb-NO"/>
        </w:rPr>
        <w:t>on</w:t>
      </w:r>
      <w:proofErr w:type="spellEnd"/>
      <w:r w:rsidRPr="007F1315">
        <w:rPr>
          <w:rFonts w:ascii="Calibri" w:eastAsia="Times New Roman" w:hAnsi="Calibri" w:cs="Calibri"/>
          <w:sz w:val="22"/>
          <w:lang w:eastAsia="nb-NO"/>
        </w:rPr>
        <w:t xml:space="preserve"> </w:t>
      </w:r>
      <w:proofErr w:type="spellStart"/>
      <w:r w:rsidRPr="007F1315">
        <w:rPr>
          <w:rFonts w:ascii="Calibri" w:eastAsia="Times New Roman" w:hAnsi="Calibri" w:cs="Calibri"/>
          <w:sz w:val="22"/>
          <w:lang w:eastAsia="nb-NO"/>
        </w:rPr>
        <w:t>the</w:t>
      </w:r>
      <w:proofErr w:type="spellEnd"/>
      <w:r w:rsidRPr="007F1315">
        <w:rPr>
          <w:rFonts w:ascii="Calibri" w:eastAsia="Times New Roman" w:hAnsi="Calibri" w:cs="Calibri"/>
          <w:sz w:val="22"/>
          <w:lang w:eastAsia="nb-NO"/>
        </w:rPr>
        <w:t xml:space="preserve"> </w:t>
      </w:r>
      <w:proofErr w:type="spellStart"/>
      <w:r w:rsidRPr="007F1315">
        <w:rPr>
          <w:rFonts w:ascii="Calibri" w:eastAsia="Times New Roman" w:hAnsi="Calibri" w:cs="Calibri"/>
          <w:sz w:val="22"/>
          <w:lang w:eastAsia="nb-NO"/>
        </w:rPr>
        <w:t>effectiveness</w:t>
      </w:r>
      <w:proofErr w:type="spellEnd"/>
      <w:r w:rsidRPr="007F1315">
        <w:rPr>
          <w:rFonts w:ascii="Calibri" w:eastAsia="Times New Roman" w:hAnsi="Calibri" w:cs="Calibri"/>
          <w:sz w:val="22"/>
          <w:lang w:eastAsia="nb-NO"/>
        </w:rPr>
        <w:t xml:space="preserve"> </w:t>
      </w:r>
      <w:proofErr w:type="spellStart"/>
      <w:r w:rsidRPr="007F1315">
        <w:rPr>
          <w:rFonts w:ascii="Calibri" w:eastAsia="Times New Roman" w:hAnsi="Calibri" w:cs="Calibri"/>
          <w:sz w:val="22"/>
          <w:lang w:eastAsia="nb-NO"/>
        </w:rPr>
        <w:t>of</w:t>
      </w:r>
      <w:proofErr w:type="spellEnd"/>
      <w:r w:rsidRPr="007F1315">
        <w:rPr>
          <w:rFonts w:ascii="Calibri" w:eastAsia="Times New Roman" w:hAnsi="Calibri" w:cs="Calibri"/>
          <w:sz w:val="22"/>
          <w:lang w:eastAsia="nb-NO"/>
        </w:rPr>
        <w:t xml:space="preserve"> </w:t>
      </w:r>
      <w:proofErr w:type="spellStart"/>
      <w:r w:rsidRPr="007F1315">
        <w:rPr>
          <w:rFonts w:ascii="Calibri" w:eastAsia="Times New Roman" w:hAnsi="Calibri" w:cs="Calibri"/>
          <w:sz w:val="22"/>
          <w:lang w:eastAsia="nb-NO"/>
        </w:rPr>
        <w:t>the</w:t>
      </w:r>
      <w:proofErr w:type="spellEnd"/>
      <w:r w:rsidRPr="007F1315">
        <w:rPr>
          <w:rFonts w:ascii="Calibri" w:eastAsia="Times New Roman" w:hAnsi="Calibri" w:cs="Calibri"/>
          <w:sz w:val="22"/>
          <w:lang w:eastAsia="nb-NO"/>
        </w:rPr>
        <w:t xml:space="preserve"> </w:t>
      </w:r>
      <w:proofErr w:type="spellStart"/>
      <w:r w:rsidRPr="007F1315">
        <w:rPr>
          <w:rFonts w:ascii="Calibri" w:eastAsia="Times New Roman" w:hAnsi="Calibri" w:cs="Calibri"/>
          <w:sz w:val="22"/>
          <w:lang w:eastAsia="nb-NO"/>
        </w:rPr>
        <w:t>appropriate</w:t>
      </w:r>
      <w:proofErr w:type="spellEnd"/>
      <w:r w:rsidRPr="007F1315">
        <w:rPr>
          <w:rFonts w:ascii="Calibri" w:eastAsia="Times New Roman" w:hAnsi="Calibri" w:cs="Calibri"/>
          <w:sz w:val="22"/>
          <w:lang w:eastAsia="nb-NO"/>
        </w:rPr>
        <w:t xml:space="preserve"> </w:t>
      </w:r>
      <w:proofErr w:type="spellStart"/>
      <w:r w:rsidRPr="007F1315">
        <w:rPr>
          <w:rFonts w:ascii="Calibri" w:eastAsia="Times New Roman" w:hAnsi="Calibri" w:cs="Calibri"/>
          <w:sz w:val="22"/>
          <w:lang w:eastAsia="nb-NO"/>
        </w:rPr>
        <w:t>safeguard</w:t>
      </w:r>
      <w:proofErr w:type="spellEnd"/>
      <w:r w:rsidRPr="007F1315">
        <w:rPr>
          <w:rFonts w:ascii="Calibri" w:eastAsia="Times New Roman" w:hAnsi="Calibri" w:cs="Calibri"/>
          <w:sz w:val="22"/>
          <w:lang w:eastAsia="nb-NO"/>
        </w:rPr>
        <w:t xml:space="preserve"> </w:t>
      </w:r>
      <w:proofErr w:type="spellStart"/>
      <w:r w:rsidRPr="007F1315">
        <w:rPr>
          <w:rFonts w:ascii="Calibri" w:eastAsia="Times New Roman" w:hAnsi="Calibri" w:cs="Calibri"/>
          <w:sz w:val="22"/>
          <w:lang w:eastAsia="nb-NO"/>
        </w:rPr>
        <w:t>tools</w:t>
      </w:r>
      <w:proofErr w:type="spellEnd"/>
      <w:r w:rsidRPr="007F1315">
        <w:rPr>
          <w:rFonts w:ascii="Calibri" w:eastAsia="Times New Roman" w:hAnsi="Calibri" w:cs="Calibri"/>
          <w:sz w:val="22"/>
          <w:lang w:eastAsia="nb-NO"/>
        </w:rPr>
        <w:t xml:space="preserve"> in </w:t>
      </w:r>
      <w:proofErr w:type="spellStart"/>
      <w:r w:rsidRPr="007F1315">
        <w:rPr>
          <w:rFonts w:ascii="Calibri" w:eastAsia="Times New Roman" w:hAnsi="Calibri" w:cs="Calibri"/>
          <w:sz w:val="22"/>
          <w:lang w:eastAsia="nb-NO"/>
        </w:rPr>
        <w:t>the</w:t>
      </w:r>
      <w:proofErr w:type="spellEnd"/>
      <w:r w:rsidRPr="007F1315">
        <w:rPr>
          <w:rFonts w:ascii="Calibri" w:eastAsia="Times New Roman" w:hAnsi="Calibri" w:cs="Calibri"/>
          <w:sz w:val="22"/>
          <w:lang w:eastAsia="nb-NO"/>
        </w:rPr>
        <w:t xml:space="preserve"> </w:t>
      </w:r>
      <w:proofErr w:type="spellStart"/>
      <w:r w:rsidRPr="007F1315">
        <w:rPr>
          <w:rFonts w:ascii="Calibri" w:eastAsia="Times New Roman" w:hAnsi="Calibri" w:cs="Calibri"/>
          <w:sz w:val="22"/>
          <w:lang w:eastAsia="nb-NO"/>
        </w:rPr>
        <w:t>context</w:t>
      </w:r>
      <w:proofErr w:type="spellEnd"/>
      <w:r w:rsidRPr="007F1315">
        <w:rPr>
          <w:rFonts w:ascii="Calibri" w:eastAsia="Times New Roman" w:hAnsi="Calibri" w:cs="Calibri"/>
          <w:sz w:val="22"/>
          <w:lang w:eastAsia="nb-NO"/>
        </w:rPr>
        <w:t xml:space="preserve"> </w:t>
      </w:r>
      <w:proofErr w:type="spellStart"/>
      <w:r w:rsidRPr="007F1315">
        <w:rPr>
          <w:rFonts w:ascii="Calibri" w:eastAsia="Times New Roman" w:hAnsi="Calibri" w:cs="Calibri"/>
          <w:sz w:val="22"/>
          <w:lang w:eastAsia="nb-NO"/>
        </w:rPr>
        <w:t>of</w:t>
      </w:r>
      <w:proofErr w:type="spellEnd"/>
      <w:r w:rsidRPr="007F1315">
        <w:rPr>
          <w:rFonts w:ascii="Calibri" w:eastAsia="Times New Roman" w:hAnsi="Calibri" w:cs="Calibri"/>
          <w:sz w:val="22"/>
          <w:lang w:eastAsia="nb-NO"/>
        </w:rPr>
        <w:t xml:space="preserve"> a </w:t>
      </w:r>
      <w:proofErr w:type="spellStart"/>
      <w:r w:rsidRPr="007F1315">
        <w:rPr>
          <w:rFonts w:ascii="Calibri" w:eastAsia="Times New Roman" w:hAnsi="Calibri" w:cs="Calibri"/>
          <w:sz w:val="22"/>
          <w:lang w:eastAsia="nb-NO"/>
        </w:rPr>
        <w:t>specific</w:t>
      </w:r>
      <w:proofErr w:type="spellEnd"/>
      <w:r w:rsidRPr="007F1315">
        <w:rPr>
          <w:rFonts w:ascii="Calibri" w:eastAsia="Times New Roman" w:hAnsi="Calibri" w:cs="Calibri"/>
          <w:sz w:val="22"/>
          <w:lang w:eastAsia="nb-NO"/>
        </w:rPr>
        <w:t xml:space="preserve"> transfer? </w:t>
      </w:r>
      <w:proofErr w:type="spellStart"/>
      <w:r w:rsidRPr="007F1315">
        <w:rPr>
          <w:rFonts w:ascii="Calibri" w:eastAsia="Times New Roman" w:hAnsi="Calibri" w:cs="Calibri"/>
          <w:sz w:val="22"/>
          <w:lang w:eastAsia="nb-NO"/>
        </w:rPr>
        <w:t>Please</w:t>
      </w:r>
      <w:proofErr w:type="spellEnd"/>
      <w:r w:rsidRPr="007F1315">
        <w:rPr>
          <w:rFonts w:ascii="Calibri" w:eastAsia="Times New Roman" w:hAnsi="Calibri" w:cs="Calibri"/>
          <w:sz w:val="22"/>
          <w:lang w:eastAsia="nb-NO"/>
        </w:rPr>
        <w:t xml:space="preserve"> </w:t>
      </w:r>
      <w:proofErr w:type="spellStart"/>
      <w:r w:rsidRPr="007F1315">
        <w:rPr>
          <w:rFonts w:ascii="Calibri" w:eastAsia="Times New Roman" w:hAnsi="Calibri" w:cs="Calibri"/>
          <w:sz w:val="22"/>
          <w:lang w:eastAsia="nb-NO"/>
        </w:rPr>
        <w:t>provide</w:t>
      </w:r>
      <w:proofErr w:type="spellEnd"/>
      <w:r w:rsidRPr="007F1315">
        <w:rPr>
          <w:rFonts w:ascii="Calibri" w:eastAsia="Times New Roman" w:hAnsi="Calibri" w:cs="Calibri"/>
          <w:sz w:val="22"/>
          <w:lang w:eastAsia="nb-NO"/>
        </w:rPr>
        <w:t xml:space="preserve"> a </w:t>
      </w:r>
      <w:proofErr w:type="spellStart"/>
      <w:r w:rsidRPr="007F1315">
        <w:rPr>
          <w:rFonts w:ascii="Calibri" w:eastAsia="Times New Roman" w:hAnsi="Calibri" w:cs="Calibri"/>
          <w:sz w:val="22"/>
          <w:lang w:eastAsia="nb-NO"/>
        </w:rPr>
        <w:t>specific</w:t>
      </w:r>
      <w:proofErr w:type="spellEnd"/>
      <w:r w:rsidRPr="007F1315">
        <w:rPr>
          <w:rFonts w:ascii="Calibri" w:eastAsia="Times New Roman" w:hAnsi="Calibri" w:cs="Calibri"/>
          <w:sz w:val="22"/>
          <w:lang w:eastAsia="nb-NO"/>
        </w:rPr>
        <w:t xml:space="preserve"> </w:t>
      </w:r>
      <w:proofErr w:type="spellStart"/>
      <w:r w:rsidRPr="007F1315">
        <w:rPr>
          <w:rFonts w:ascii="Calibri" w:eastAsia="Times New Roman" w:hAnsi="Calibri" w:cs="Calibri"/>
          <w:sz w:val="22"/>
          <w:lang w:eastAsia="nb-NO"/>
        </w:rPr>
        <w:t>assessment</w:t>
      </w:r>
      <w:proofErr w:type="spellEnd"/>
      <w:r w:rsidRPr="007F1315">
        <w:rPr>
          <w:rFonts w:ascii="Calibri" w:eastAsia="Times New Roman" w:hAnsi="Calibri" w:cs="Calibri"/>
          <w:sz w:val="22"/>
          <w:lang w:eastAsia="nb-NO"/>
        </w:rPr>
        <w:t xml:space="preserve"> in </w:t>
      </w:r>
      <w:proofErr w:type="spellStart"/>
      <w:r w:rsidRPr="007F1315">
        <w:rPr>
          <w:rFonts w:ascii="Calibri" w:eastAsia="Times New Roman" w:hAnsi="Calibri" w:cs="Calibri"/>
          <w:sz w:val="22"/>
          <w:lang w:eastAsia="nb-NO"/>
        </w:rPr>
        <w:t>the</w:t>
      </w:r>
      <w:proofErr w:type="spellEnd"/>
      <w:r w:rsidRPr="007F1315">
        <w:rPr>
          <w:rFonts w:ascii="Calibri" w:eastAsia="Times New Roman" w:hAnsi="Calibri" w:cs="Calibri"/>
          <w:sz w:val="22"/>
          <w:lang w:eastAsia="nb-NO"/>
        </w:rPr>
        <w:t xml:space="preserve"> </w:t>
      </w:r>
      <w:proofErr w:type="spellStart"/>
      <w:r w:rsidRPr="007F1315">
        <w:rPr>
          <w:rFonts w:ascii="Calibri" w:eastAsia="Times New Roman" w:hAnsi="Calibri" w:cs="Calibri"/>
          <w:sz w:val="22"/>
          <w:lang w:eastAsia="nb-NO"/>
        </w:rPr>
        <w:t>wake</w:t>
      </w:r>
      <w:proofErr w:type="spellEnd"/>
      <w:r w:rsidRPr="007F1315">
        <w:rPr>
          <w:rFonts w:ascii="Calibri" w:eastAsia="Times New Roman" w:hAnsi="Calibri" w:cs="Calibri"/>
          <w:sz w:val="22"/>
          <w:lang w:eastAsia="nb-NO"/>
        </w:rPr>
        <w:t xml:space="preserve"> </w:t>
      </w:r>
      <w:proofErr w:type="spellStart"/>
      <w:r w:rsidRPr="007F1315">
        <w:rPr>
          <w:rFonts w:ascii="Calibri" w:eastAsia="Times New Roman" w:hAnsi="Calibri" w:cs="Calibri"/>
          <w:sz w:val="22"/>
          <w:lang w:eastAsia="nb-NO"/>
        </w:rPr>
        <w:t>of</w:t>
      </w:r>
      <w:proofErr w:type="spellEnd"/>
      <w:r w:rsidRPr="007F1315">
        <w:rPr>
          <w:rFonts w:ascii="Calibri" w:eastAsia="Times New Roman" w:hAnsi="Calibri" w:cs="Calibri"/>
          <w:sz w:val="22"/>
          <w:lang w:eastAsia="nb-NO"/>
        </w:rPr>
        <w:t xml:space="preserve"> </w:t>
      </w:r>
      <w:proofErr w:type="spellStart"/>
      <w:r w:rsidRPr="007F1315">
        <w:rPr>
          <w:rFonts w:ascii="Calibri" w:eastAsia="Times New Roman" w:hAnsi="Calibri" w:cs="Calibri"/>
          <w:sz w:val="22"/>
          <w:lang w:eastAsia="nb-NO"/>
        </w:rPr>
        <w:t>Schrems</w:t>
      </w:r>
      <w:proofErr w:type="spellEnd"/>
      <w:r w:rsidRPr="007F1315">
        <w:rPr>
          <w:rFonts w:ascii="Calibri" w:eastAsia="Times New Roman" w:hAnsi="Calibri" w:cs="Calibri"/>
          <w:sz w:val="22"/>
          <w:lang w:eastAsia="nb-NO"/>
        </w:rPr>
        <w:t xml:space="preserve"> Il and EDPB </w:t>
      </w:r>
      <w:proofErr w:type="spellStart"/>
      <w:r w:rsidRPr="007F1315">
        <w:rPr>
          <w:rFonts w:ascii="Calibri" w:eastAsia="Times New Roman" w:hAnsi="Calibri" w:cs="Calibri"/>
          <w:sz w:val="22"/>
          <w:lang w:eastAsia="nb-NO"/>
        </w:rPr>
        <w:t>Recommendations</w:t>
      </w:r>
      <w:proofErr w:type="spellEnd"/>
      <w:r w:rsidRPr="007F1315">
        <w:rPr>
          <w:rFonts w:ascii="Calibri" w:eastAsia="Times New Roman" w:hAnsi="Calibri" w:cs="Calibri"/>
          <w:sz w:val="22"/>
          <w:lang w:eastAsia="nb-NO"/>
        </w:rPr>
        <w:t>.</w:t>
      </w:r>
    </w:p>
    <w:p w:rsidR="007F1315" w:rsidRPr="007F1315" w:rsidRDefault="007F1315" w:rsidP="007F1315">
      <w:pPr>
        <w:spacing w:after="0" w:line="240" w:lineRule="auto"/>
        <w:ind w:left="540"/>
        <w:rPr>
          <w:rFonts w:ascii="Calibri" w:eastAsia="Times New Roman" w:hAnsi="Calibri" w:cs="Calibri"/>
          <w:sz w:val="22"/>
          <w:lang w:eastAsia="nb-NO"/>
        </w:rPr>
      </w:pPr>
      <w:r w:rsidRPr="007F1315">
        <w:rPr>
          <w:rFonts w:ascii="Calibri" w:eastAsia="Times New Roman" w:hAnsi="Calibri" w:cs="Calibri"/>
          <w:sz w:val="22"/>
          <w:lang w:eastAsia="nb-NO"/>
        </w:rPr>
        <w:t> </w:t>
      </w:r>
    </w:p>
    <w:p w:rsidR="007F1315" w:rsidRPr="007F1315" w:rsidRDefault="007F1315" w:rsidP="007F1315">
      <w:pPr>
        <w:numPr>
          <w:ilvl w:val="0"/>
          <w:numId w:val="5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b/>
          <w:bCs/>
          <w:sz w:val="22"/>
          <w:lang w:eastAsia="nb-NO"/>
        </w:rPr>
      </w:pPr>
      <w:proofErr w:type="spellStart"/>
      <w:r w:rsidRPr="007F1315">
        <w:rPr>
          <w:rFonts w:ascii="Calibri" w:eastAsia="Times New Roman" w:hAnsi="Calibri" w:cs="Calibri"/>
          <w:b/>
          <w:bCs/>
          <w:sz w:val="22"/>
          <w:lang w:eastAsia="nb-NO"/>
        </w:rPr>
        <w:t>Supplementary</w:t>
      </w:r>
      <w:proofErr w:type="spellEnd"/>
      <w:r w:rsidRPr="007F1315">
        <w:rPr>
          <w:rFonts w:ascii="Calibri" w:eastAsia="Times New Roman" w:hAnsi="Calibri" w:cs="Calibri"/>
          <w:b/>
          <w:bCs/>
          <w:sz w:val="22"/>
          <w:lang w:eastAsia="nb-NO"/>
        </w:rPr>
        <w:t xml:space="preserve"> </w:t>
      </w:r>
      <w:proofErr w:type="spellStart"/>
      <w:r w:rsidRPr="007F1315">
        <w:rPr>
          <w:rFonts w:ascii="Calibri" w:eastAsia="Times New Roman" w:hAnsi="Calibri" w:cs="Calibri"/>
          <w:b/>
          <w:bCs/>
          <w:sz w:val="22"/>
          <w:lang w:eastAsia="nb-NO"/>
        </w:rPr>
        <w:t>measures</w:t>
      </w:r>
      <w:proofErr w:type="spellEnd"/>
    </w:p>
    <w:p w:rsidR="007F1315" w:rsidRPr="007F1315" w:rsidRDefault="007F1315" w:rsidP="007F1315">
      <w:pPr>
        <w:spacing w:after="0" w:line="240" w:lineRule="auto"/>
        <w:ind w:left="540"/>
        <w:rPr>
          <w:rFonts w:ascii="Calibri" w:eastAsia="Times New Roman" w:hAnsi="Calibri" w:cs="Calibri"/>
          <w:sz w:val="22"/>
          <w:lang w:eastAsia="nb-NO"/>
        </w:rPr>
      </w:pPr>
      <w:r w:rsidRPr="007F1315">
        <w:rPr>
          <w:rFonts w:ascii="Calibri" w:eastAsia="Times New Roman" w:hAnsi="Calibri" w:cs="Calibri"/>
          <w:sz w:val="22"/>
          <w:lang w:eastAsia="nb-NO"/>
        </w:rPr>
        <w:t xml:space="preserve">In </w:t>
      </w:r>
      <w:proofErr w:type="spellStart"/>
      <w:r w:rsidRPr="007F1315">
        <w:rPr>
          <w:rFonts w:ascii="Calibri" w:eastAsia="Times New Roman" w:hAnsi="Calibri" w:cs="Calibri"/>
          <w:sz w:val="22"/>
          <w:lang w:eastAsia="nb-NO"/>
        </w:rPr>
        <w:t>the</w:t>
      </w:r>
      <w:proofErr w:type="spellEnd"/>
      <w:r w:rsidRPr="007F1315">
        <w:rPr>
          <w:rFonts w:ascii="Calibri" w:eastAsia="Times New Roman" w:hAnsi="Calibri" w:cs="Calibri"/>
          <w:sz w:val="22"/>
          <w:lang w:eastAsia="nb-NO"/>
        </w:rPr>
        <w:t xml:space="preserve"> </w:t>
      </w:r>
      <w:proofErr w:type="spellStart"/>
      <w:r w:rsidRPr="007F1315">
        <w:rPr>
          <w:rFonts w:ascii="Calibri" w:eastAsia="Times New Roman" w:hAnsi="Calibri" w:cs="Calibri"/>
          <w:sz w:val="22"/>
          <w:lang w:eastAsia="nb-NO"/>
        </w:rPr>
        <w:t>event</w:t>
      </w:r>
      <w:proofErr w:type="spellEnd"/>
      <w:r w:rsidRPr="007F1315">
        <w:rPr>
          <w:rFonts w:ascii="Calibri" w:eastAsia="Times New Roman" w:hAnsi="Calibri" w:cs="Calibri"/>
          <w:sz w:val="22"/>
          <w:lang w:eastAsia="nb-NO"/>
        </w:rPr>
        <w:t xml:space="preserve"> Microsoft transfers Personal Data to Third </w:t>
      </w:r>
      <w:proofErr w:type="spellStart"/>
      <w:r w:rsidRPr="007F1315">
        <w:rPr>
          <w:rFonts w:ascii="Calibri" w:eastAsia="Times New Roman" w:hAnsi="Calibri" w:cs="Calibri"/>
          <w:sz w:val="22"/>
          <w:lang w:eastAsia="nb-NO"/>
        </w:rPr>
        <w:t>Countries</w:t>
      </w:r>
      <w:proofErr w:type="spellEnd"/>
      <w:r w:rsidRPr="007F1315">
        <w:rPr>
          <w:rFonts w:ascii="Calibri" w:eastAsia="Times New Roman" w:hAnsi="Calibri" w:cs="Calibri"/>
          <w:sz w:val="22"/>
          <w:lang w:eastAsia="nb-NO"/>
        </w:rPr>
        <w:t xml:space="preserve">, </w:t>
      </w:r>
      <w:proofErr w:type="spellStart"/>
      <w:r w:rsidRPr="007F1315">
        <w:rPr>
          <w:rFonts w:ascii="Calibri" w:eastAsia="Times New Roman" w:hAnsi="Calibri" w:cs="Calibri"/>
          <w:sz w:val="22"/>
          <w:lang w:eastAsia="nb-NO"/>
        </w:rPr>
        <w:t>which</w:t>
      </w:r>
      <w:proofErr w:type="spellEnd"/>
      <w:r w:rsidRPr="007F1315">
        <w:rPr>
          <w:rFonts w:ascii="Calibri" w:eastAsia="Times New Roman" w:hAnsi="Calibri" w:cs="Calibri"/>
          <w:sz w:val="22"/>
          <w:lang w:eastAsia="nb-NO"/>
        </w:rPr>
        <w:t xml:space="preserve"> </w:t>
      </w:r>
      <w:proofErr w:type="spellStart"/>
      <w:r w:rsidRPr="007F1315">
        <w:rPr>
          <w:rFonts w:ascii="Calibri" w:eastAsia="Times New Roman" w:hAnsi="Calibri" w:cs="Calibri"/>
          <w:sz w:val="22"/>
          <w:lang w:eastAsia="nb-NO"/>
        </w:rPr>
        <w:t>supplementary</w:t>
      </w:r>
      <w:proofErr w:type="spellEnd"/>
      <w:r w:rsidRPr="007F1315">
        <w:rPr>
          <w:rFonts w:ascii="Calibri" w:eastAsia="Times New Roman" w:hAnsi="Calibri" w:cs="Calibri"/>
          <w:sz w:val="22"/>
          <w:lang w:eastAsia="nb-NO"/>
        </w:rPr>
        <w:t xml:space="preserve"> </w:t>
      </w:r>
      <w:proofErr w:type="spellStart"/>
      <w:r w:rsidRPr="007F1315">
        <w:rPr>
          <w:rFonts w:ascii="Calibri" w:eastAsia="Times New Roman" w:hAnsi="Calibri" w:cs="Calibri"/>
          <w:sz w:val="22"/>
          <w:lang w:eastAsia="nb-NO"/>
        </w:rPr>
        <w:t>measures</w:t>
      </w:r>
      <w:proofErr w:type="spellEnd"/>
      <w:r w:rsidRPr="007F1315">
        <w:rPr>
          <w:rFonts w:ascii="Calibri" w:eastAsia="Times New Roman" w:hAnsi="Calibri" w:cs="Calibri"/>
          <w:sz w:val="22"/>
          <w:lang w:eastAsia="nb-NO"/>
        </w:rPr>
        <w:t xml:space="preserve"> (</w:t>
      </w:r>
      <w:proofErr w:type="spellStart"/>
      <w:r w:rsidRPr="007F1315">
        <w:rPr>
          <w:rFonts w:ascii="Calibri" w:eastAsia="Times New Roman" w:hAnsi="Calibri" w:cs="Calibri"/>
          <w:sz w:val="22"/>
          <w:lang w:eastAsia="nb-NO"/>
        </w:rPr>
        <w:t>contractual</w:t>
      </w:r>
      <w:proofErr w:type="spellEnd"/>
      <w:r w:rsidRPr="007F1315">
        <w:rPr>
          <w:rFonts w:ascii="Calibri" w:eastAsia="Times New Roman" w:hAnsi="Calibri" w:cs="Calibri"/>
          <w:sz w:val="22"/>
          <w:lang w:eastAsia="nb-NO"/>
        </w:rPr>
        <w:t xml:space="preserve">, </w:t>
      </w:r>
      <w:proofErr w:type="spellStart"/>
      <w:r w:rsidRPr="007F1315">
        <w:rPr>
          <w:rFonts w:ascii="Calibri" w:eastAsia="Times New Roman" w:hAnsi="Calibri" w:cs="Calibri"/>
          <w:sz w:val="22"/>
          <w:lang w:eastAsia="nb-NO"/>
        </w:rPr>
        <w:t>organizational</w:t>
      </w:r>
      <w:proofErr w:type="spellEnd"/>
      <w:r w:rsidRPr="007F1315">
        <w:rPr>
          <w:rFonts w:ascii="Calibri" w:eastAsia="Times New Roman" w:hAnsi="Calibri" w:cs="Calibri"/>
          <w:sz w:val="22"/>
          <w:lang w:eastAsia="nb-NO"/>
        </w:rPr>
        <w:t xml:space="preserve"> and </w:t>
      </w:r>
      <w:proofErr w:type="spellStart"/>
      <w:r w:rsidRPr="007F1315">
        <w:rPr>
          <w:rFonts w:ascii="Calibri" w:eastAsia="Times New Roman" w:hAnsi="Calibri" w:cs="Calibri"/>
          <w:sz w:val="22"/>
          <w:lang w:eastAsia="nb-NO"/>
        </w:rPr>
        <w:t>technical</w:t>
      </w:r>
      <w:proofErr w:type="spellEnd"/>
      <w:r w:rsidRPr="007F1315">
        <w:rPr>
          <w:rFonts w:ascii="Calibri" w:eastAsia="Times New Roman" w:hAnsi="Calibri" w:cs="Calibri"/>
          <w:sz w:val="22"/>
          <w:lang w:eastAsia="nb-NO"/>
        </w:rPr>
        <w:t xml:space="preserve">) </w:t>
      </w:r>
      <w:proofErr w:type="spellStart"/>
      <w:r w:rsidRPr="007F1315">
        <w:rPr>
          <w:rFonts w:ascii="Calibri" w:eastAsia="Times New Roman" w:hAnsi="Calibri" w:cs="Calibri"/>
          <w:sz w:val="22"/>
          <w:lang w:eastAsia="nb-NO"/>
        </w:rPr>
        <w:t>are</w:t>
      </w:r>
      <w:proofErr w:type="spellEnd"/>
      <w:r w:rsidRPr="007F1315">
        <w:rPr>
          <w:rFonts w:ascii="Calibri" w:eastAsia="Times New Roman" w:hAnsi="Calibri" w:cs="Calibri"/>
          <w:sz w:val="22"/>
          <w:lang w:eastAsia="nb-NO"/>
        </w:rPr>
        <w:t xml:space="preserve"> </w:t>
      </w:r>
      <w:proofErr w:type="spellStart"/>
      <w:r w:rsidRPr="007F1315">
        <w:rPr>
          <w:rFonts w:ascii="Calibri" w:eastAsia="Times New Roman" w:hAnsi="Calibri" w:cs="Calibri"/>
          <w:sz w:val="22"/>
          <w:lang w:eastAsia="nb-NO"/>
        </w:rPr>
        <w:t>implemented</w:t>
      </w:r>
      <w:proofErr w:type="spellEnd"/>
      <w:r w:rsidRPr="007F1315">
        <w:rPr>
          <w:rFonts w:ascii="Calibri" w:eastAsia="Times New Roman" w:hAnsi="Calibri" w:cs="Calibri"/>
          <w:sz w:val="22"/>
          <w:lang w:eastAsia="nb-NO"/>
        </w:rPr>
        <w:t xml:space="preserve"> to </w:t>
      </w:r>
      <w:proofErr w:type="spellStart"/>
      <w:r w:rsidRPr="007F1315">
        <w:rPr>
          <w:rFonts w:ascii="Calibri" w:eastAsia="Times New Roman" w:hAnsi="Calibri" w:cs="Calibri"/>
          <w:sz w:val="22"/>
          <w:lang w:eastAsia="nb-NO"/>
        </w:rPr>
        <w:t>ensure</w:t>
      </w:r>
      <w:proofErr w:type="spellEnd"/>
      <w:r w:rsidRPr="007F1315">
        <w:rPr>
          <w:rFonts w:ascii="Calibri" w:eastAsia="Times New Roman" w:hAnsi="Calibri" w:cs="Calibri"/>
          <w:sz w:val="22"/>
          <w:lang w:eastAsia="nb-NO"/>
        </w:rPr>
        <w:t xml:space="preserve"> </w:t>
      </w:r>
      <w:proofErr w:type="spellStart"/>
      <w:r w:rsidRPr="007F1315">
        <w:rPr>
          <w:rFonts w:ascii="Calibri" w:eastAsia="Times New Roman" w:hAnsi="Calibri" w:cs="Calibri"/>
          <w:sz w:val="22"/>
          <w:lang w:eastAsia="nb-NO"/>
        </w:rPr>
        <w:t>compliance</w:t>
      </w:r>
      <w:proofErr w:type="spellEnd"/>
      <w:r w:rsidRPr="007F1315">
        <w:rPr>
          <w:rFonts w:ascii="Calibri" w:eastAsia="Times New Roman" w:hAnsi="Calibri" w:cs="Calibri"/>
          <w:sz w:val="22"/>
          <w:lang w:eastAsia="nb-NO"/>
        </w:rPr>
        <w:t xml:space="preserve"> </w:t>
      </w:r>
      <w:proofErr w:type="spellStart"/>
      <w:r w:rsidRPr="007F1315">
        <w:rPr>
          <w:rFonts w:ascii="Calibri" w:eastAsia="Times New Roman" w:hAnsi="Calibri" w:cs="Calibri"/>
          <w:sz w:val="22"/>
          <w:lang w:eastAsia="nb-NO"/>
        </w:rPr>
        <w:t>with</w:t>
      </w:r>
      <w:proofErr w:type="spellEnd"/>
      <w:r w:rsidRPr="007F1315">
        <w:rPr>
          <w:rFonts w:ascii="Calibri" w:eastAsia="Times New Roman" w:hAnsi="Calibri" w:cs="Calibri"/>
          <w:sz w:val="22"/>
          <w:lang w:eastAsia="nb-NO"/>
        </w:rPr>
        <w:t xml:space="preserve"> </w:t>
      </w:r>
      <w:proofErr w:type="spellStart"/>
      <w:r w:rsidRPr="007F1315">
        <w:rPr>
          <w:rFonts w:ascii="Calibri" w:eastAsia="Times New Roman" w:hAnsi="Calibri" w:cs="Calibri"/>
          <w:sz w:val="22"/>
          <w:lang w:eastAsia="nb-NO"/>
        </w:rPr>
        <w:t>the</w:t>
      </w:r>
      <w:proofErr w:type="spellEnd"/>
      <w:r w:rsidRPr="007F1315">
        <w:rPr>
          <w:rFonts w:ascii="Calibri" w:eastAsia="Times New Roman" w:hAnsi="Calibri" w:cs="Calibri"/>
          <w:sz w:val="22"/>
          <w:lang w:eastAsia="nb-NO"/>
        </w:rPr>
        <w:t xml:space="preserve"> EU </w:t>
      </w:r>
      <w:proofErr w:type="spellStart"/>
      <w:r w:rsidRPr="007F1315">
        <w:rPr>
          <w:rFonts w:ascii="Calibri" w:eastAsia="Times New Roman" w:hAnsi="Calibri" w:cs="Calibri"/>
          <w:sz w:val="22"/>
          <w:lang w:eastAsia="nb-NO"/>
        </w:rPr>
        <w:t>level</w:t>
      </w:r>
      <w:proofErr w:type="spellEnd"/>
      <w:r w:rsidRPr="007F1315">
        <w:rPr>
          <w:rFonts w:ascii="Calibri" w:eastAsia="Times New Roman" w:hAnsi="Calibri" w:cs="Calibri"/>
          <w:sz w:val="22"/>
          <w:lang w:eastAsia="nb-NO"/>
        </w:rPr>
        <w:t xml:space="preserve"> </w:t>
      </w:r>
      <w:proofErr w:type="spellStart"/>
      <w:r w:rsidRPr="007F1315">
        <w:rPr>
          <w:rFonts w:ascii="Calibri" w:eastAsia="Times New Roman" w:hAnsi="Calibri" w:cs="Calibri"/>
          <w:sz w:val="22"/>
          <w:lang w:eastAsia="nb-NO"/>
        </w:rPr>
        <w:t>of</w:t>
      </w:r>
      <w:proofErr w:type="spellEnd"/>
      <w:r w:rsidRPr="007F1315">
        <w:rPr>
          <w:rFonts w:ascii="Calibri" w:eastAsia="Times New Roman" w:hAnsi="Calibri" w:cs="Calibri"/>
          <w:sz w:val="22"/>
          <w:lang w:eastAsia="nb-NO"/>
        </w:rPr>
        <w:t xml:space="preserve"> </w:t>
      </w:r>
      <w:proofErr w:type="spellStart"/>
      <w:r w:rsidRPr="007F1315">
        <w:rPr>
          <w:rFonts w:ascii="Calibri" w:eastAsia="Times New Roman" w:hAnsi="Calibri" w:cs="Calibri"/>
          <w:sz w:val="22"/>
          <w:lang w:eastAsia="nb-NO"/>
        </w:rPr>
        <w:t>protection</w:t>
      </w:r>
      <w:proofErr w:type="spellEnd"/>
      <w:r w:rsidRPr="007F1315">
        <w:rPr>
          <w:rFonts w:ascii="Calibri" w:eastAsia="Times New Roman" w:hAnsi="Calibri" w:cs="Calibri"/>
          <w:sz w:val="22"/>
          <w:lang w:eastAsia="nb-NO"/>
        </w:rPr>
        <w:t xml:space="preserve"> </w:t>
      </w:r>
      <w:proofErr w:type="spellStart"/>
      <w:r w:rsidRPr="007F1315">
        <w:rPr>
          <w:rFonts w:ascii="Calibri" w:eastAsia="Times New Roman" w:hAnsi="Calibri" w:cs="Calibri"/>
          <w:sz w:val="22"/>
          <w:lang w:eastAsia="nb-NO"/>
        </w:rPr>
        <w:t>of</w:t>
      </w:r>
      <w:proofErr w:type="spellEnd"/>
      <w:r w:rsidRPr="007F1315">
        <w:rPr>
          <w:rFonts w:ascii="Calibri" w:eastAsia="Times New Roman" w:hAnsi="Calibri" w:cs="Calibri"/>
          <w:sz w:val="22"/>
          <w:lang w:eastAsia="nb-NO"/>
        </w:rPr>
        <w:t xml:space="preserve"> Personal Data </w:t>
      </w:r>
      <w:proofErr w:type="spellStart"/>
      <w:r w:rsidRPr="007F1315">
        <w:rPr>
          <w:rFonts w:ascii="Calibri" w:eastAsia="Times New Roman" w:hAnsi="Calibri" w:cs="Calibri"/>
          <w:sz w:val="22"/>
          <w:lang w:eastAsia="nb-NO"/>
        </w:rPr>
        <w:t>e.q</w:t>
      </w:r>
      <w:proofErr w:type="spellEnd"/>
      <w:r w:rsidRPr="007F1315">
        <w:rPr>
          <w:rFonts w:ascii="Calibri" w:eastAsia="Times New Roman" w:hAnsi="Calibri" w:cs="Calibri"/>
          <w:sz w:val="22"/>
          <w:lang w:eastAsia="nb-NO"/>
        </w:rPr>
        <w:t xml:space="preserve">. EDPB </w:t>
      </w:r>
      <w:proofErr w:type="spellStart"/>
      <w:r w:rsidRPr="007F1315">
        <w:rPr>
          <w:rFonts w:ascii="Calibri" w:eastAsia="Times New Roman" w:hAnsi="Calibri" w:cs="Calibri"/>
          <w:sz w:val="22"/>
          <w:lang w:eastAsia="nb-NO"/>
        </w:rPr>
        <w:t>Recommendation</w:t>
      </w:r>
      <w:proofErr w:type="spellEnd"/>
      <w:r w:rsidRPr="007F1315">
        <w:rPr>
          <w:rFonts w:ascii="Calibri" w:eastAsia="Times New Roman" w:hAnsi="Calibri" w:cs="Calibri"/>
          <w:sz w:val="22"/>
          <w:lang w:eastAsia="nb-NO"/>
        </w:rPr>
        <w:t xml:space="preserve"> </w:t>
      </w:r>
      <w:proofErr w:type="spellStart"/>
      <w:r w:rsidRPr="007F1315">
        <w:rPr>
          <w:rFonts w:ascii="Calibri" w:eastAsia="Times New Roman" w:hAnsi="Calibri" w:cs="Calibri"/>
          <w:sz w:val="22"/>
          <w:lang w:eastAsia="nb-NO"/>
        </w:rPr>
        <w:t>annex</w:t>
      </w:r>
      <w:proofErr w:type="spellEnd"/>
      <w:r w:rsidRPr="007F1315">
        <w:rPr>
          <w:rFonts w:ascii="Calibri" w:eastAsia="Times New Roman" w:hAnsi="Calibri" w:cs="Calibri"/>
          <w:sz w:val="22"/>
          <w:lang w:eastAsia="nb-NO"/>
        </w:rPr>
        <w:t xml:space="preserve"> 2 </w:t>
      </w:r>
      <w:proofErr w:type="spellStart"/>
      <w:r w:rsidRPr="007F1315">
        <w:rPr>
          <w:rFonts w:ascii="Calibri" w:eastAsia="Times New Roman" w:hAnsi="Calibri" w:cs="Calibri"/>
          <w:sz w:val="22"/>
          <w:lang w:eastAsia="nb-NO"/>
        </w:rPr>
        <w:t>int</w:t>
      </w:r>
      <w:proofErr w:type="spellEnd"/>
      <w:r w:rsidRPr="007F1315">
        <w:rPr>
          <w:rFonts w:ascii="Calibri" w:eastAsia="Times New Roman" w:hAnsi="Calibri" w:cs="Calibri"/>
          <w:sz w:val="22"/>
          <w:lang w:eastAsia="nb-NO"/>
        </w:rPr>
        <w:t xml:space="preserve"> 79?</w:t>
      </w:r>
    </w:p>
    <w:p w:rsidR="007F1315" w:rsidRPr="007F1315" w:rsidRDefault="007F1315" w:rsidP="007F1315">
      <w:pPr>
        <w:spacing w:after="0" w:line="240" w:lineRule="auto"/>
        <w:ind w:left="540"/>
        <w:rPr>
          <w:rFonts w:ascii="Calibri" w:eastAsia="Times New Roman" w:hAnsi="Calibri" w:cs="Calibri"/>
          <w:sz w:val="22"/>
          <w:lang w:eastAsia="nb-NO"/>
        </w:rPr>
      </w:pPr>
      <w:r w:rsidRPr="007F1315">
        <w:rPr>
          <w:rFonts w:ascii="Calibri" w:eastAsia="Times New Roman" w:hAnsi="Calibri" w:cs="Calibri"/>
          <w:sz w:val="22"/>
          <w:lang w:eastAsia="nb-NO"/>
        </w:rPr>
        <w:t> </w:t>
      </w:r>
    </w:p>
    <w:p w:rsidR="007F1315" w:rsidRPr="007F1315" w:rsidRDefault="007F1315" w:rsidP="007F1315">
      <w:pPr>
        <w:numPr>
          <w:ilvl w:val="0"/>
          <w:numId w:val="6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b/>
          <w:bCs/>
          <w:sz w:val="22"/>
          <w:lang w:eastAsia="nb-NO"/>
        </w:rPr>
      </w:pPr>
      <w:r w:rsidRPr="007F1315">
        <w:rPr>
          <w:rFonts w:ascii="Calibri" w:eastAsia="Times New Roman" w:hAnsi="Calibri" w:cs="Calibri"/>
          <w:b/>
          <w:bCs/>
          <w:sz w:val="22"/>
          <w:lang w:eastAsia="nb-NO"/>
        </w:rPr>
        <w:t>US-</w:t>
      </w:r>
      <w:proofErr w:type="spellStart"/>
      <w:r w:rsidRPr="007F1315">
        <w:rPr>
          <w:rFonts w:ascii="Calibri" w:eastAsia="Times New Roman" w:hAnsi="Calibri" w:cs="Calibri"/>
          <w:b/>
          <w:bCs/>
          <w:sz w:val="22"/>
          <w:lang w:eastAsia="nb-NO"/>
        </w:rPr>
        <w:t>specific</w:t>
      </w:r>
      <w:proofErr w:type="spellEnd"/>
      <w:r w:rsidRPr="007F1315">
        <w:rPr>
          <w:rFonts w:ascii="Calibri" w:eastAsia="Times New Roman" w:hAnsi="Calibri" w:cs="Calibri"/>
          <w:b/>
          <w:bCs/>
          <w:sz w:val="22"/>
          <w:lang w:eastAsia="nb-NO"/>
        </w:rPr>
        <w:t xml:space="preserve"> </w:t>
      </w:r>
      <w:proofErr w:type="spellStart"/>
      <w:r w:rsidRPr="007F1315">
        <w:rPr>
          <w:rFonts w:ascii="Calibri" w:eastAsia="Times New Roman" w:hAnsi="Calibri" w:cs="Calibri"/>
          <w:b/>
          <w:bCs/>
          <w:sz w:val="22"/>
          <w:lang w:eastAsia="nb-NO"/>
        </w:rPr>
        <w:t>assessment</w:t>
      </w:r>
      <w:proofErr w:type="spellEnd"/>
    </w:p>
    <w:p w:rsidR="007F1315" w:rsidRDefault="007F1315" w:rsidP="007F1315">
      <w:pPr>
        <w:spacing w:after="0" w:line="240" w:lineRule="auto"/>
        <w:ind w:left="540"/>
        <w:rPr>
          <w:rFonts w:ascii="Calibri" w:eastAsia="Times New Roman" w:hAnsi="Calibri" w:cs="Calibri"/>
          <w:sz w:val="22"/>
          <w:lang w:eastAsia="nb-NO"/>
        </w:rPr>
      </w:pPr>
      <w:r w:rsidRPr="007F1315">
        <w:rPr>
          <w:rFonts w:ascii="Calibri" w:eastAsia="Times New Roman" w:hAnsi="Calibri" w:cs="Calibri"/>
          <w:sz w:val="22"/>
          <w:lang w:eastAsia="nb-NO"/>
        </w:rPr>
        <w:t xml:space="preserve">In </w:t>
      </w:r>
      <w:proofErr w:type="spellStart"/>
      <w:r w:rsidRPr="007F1315">
        <w:rPr>
          <w:rFonts w:ascii="Calibri" w:eastAsia="Times New Roman" w:hAnsi="Calibri" w:cs="Calibri"/>
          <w:sz w:val="22"/>
          <w:lang w:eastAsia="nb-NO"/>
        </w:rPr>
        <w:t>the</w:t>
      </w:r>
      <w:proofErr w:type="spellEnd"/>
      <w:r w:rsidRPr="007F1315">
        <w:rPr>
          <w:rFonts w:ascii="Calibri" w:eastAsia="Times New Roman" w:hAnsi="Calibri" w:cs="Calibri"/>
          <w:sz w:val="22"/>
          <w:lang w:eastAsia="nb-NO"/>
        </w:rPr>
        <w:t xml:space="preserve"> </w:t>
      </w:r>
      <w:proofErr w:type="spellStart"/>
      <w:r w:rsidRPr="007F1315">
        <w:rPr>
          <w:rFonts w:ascii="Calibri" w:eastAsia="Times New Roman" w:hAnsi="Calibri" w:cs="Calibri"/>
          <w:sz w:val="22"/>
          <w:lang w:eastAsia="nb-NO"/>
        </w:rPr>
        <w:t>event</w:t>
      </w:r>
      <w:proofErr w:type="spellEnd"/>
      <w:r w:rsidRPr="007F1315">
        <w:rPr>
          <w:rFonts w:ascii="Calibri" w:eastAsia="Times New Roman" w:hAnsi="Calibri" w:cs="Calibri"/>
          <w:sz w:val="22"/>
          <w:lang w:eastAsia="nb-NO"/>
        </w:rPr>
        <w:t xml:space="preserve"> Microsoft transfers Personal Data to </w:t>
      </w:r>
      <w:proofErr w:type="spellStart"/>
      <w:r w:rsidRPr="007F1315">
        <w:rPr>
          <w:rFonts w:ascii="Calibri" w:eastAsia="Times New Roman" w:hAnsi="Calibri" w:cs="Calibri"/>
          <w:sz w:val="22"/>
          <w:lang w:eastAsia="nb-NO"/>
        </w:rPr>
        <w:t>the</w:t>
      </w:r>
      <w:proofErr w:type="spellEnd"/>
      <w:r w:rsidRPr="007F1315">
        <w:rPr>
          <w:rFonts w:ascii="Calibri" w:eastAsia="Times New Roman" w:hAnsi="Calibri" w:cs="Calibri"/>
          <w:sz w:val="22"/>
          <w:lang w:eastAsia="nb-NO"/>
        </w:rPr>
        <w:t xml:space="preserve"> US and/or Personal Data is </w:t>
      </w:r>
      <w:proofErr w:type="spellStart"/>
      <w:r w:rsidRPr="007F1315">
        <w:rPr>
          <w:rFonts w:ascii="Calibri" w:eastAsia="Times New Roman" w:hAnsi="Calibri" w:cs="Calibri"/>
          <w:sz w:val="22"/>
          <w:lang w:eastAsia="nb-NO"/>
        </w:rPr>
        <w:t>processed</w:t>
      </w:r>
      <w:proofErr w:type="spellEnd"/>
      <w:r w:rsidRPr="007F1315">
        <w:rPr>
          <w:rFonts w:ascii="Calibri" w:eastAsia="Times New Roman" w:hAnsi="Calibri" w:cs="Calibri"/>
          <w:sz w:val="22"/>
          <w:lang w:eastAsia="nb-NO"/>
        </w:rPr>
        <w:t xml:space="preserve"> in </w:t>
      </w:r>
      <w:proofErr w:type="spellStart"/>
      <w:r w:rsidRPr="007F1315">
        <w:rPr>
          <w:rFonts w:ascii="Calibri" w:eastAsia="Times New Roman" w:hAnsi="Calibri" w:cs="Calibri"/>
          <w:sz w:val="22"/>
          <w:lang w:eastAsia="nb-NO"/>
        </w:rPr>
        <w:t>the</w:t>
      </w:r>
      <w:proofErr w:type="spellEnd"/>
      <w:r w:rsidRPr="007F1315">
        <w:rPr>
          <w:rFonts w:ascii="Calibri" w:eastAsia="Times New Roman" w:hAnsi="Calibri" w:cs="Calibri"/>
          <w:sz w:val="22"/>
          <w:lang w:eastAsia="nb-NO"/>
        </w:rPr>
        <w:t xml:space="preserve"> US, </w:t>
      </w:r>
      <w:proofErr w:type="spellStart"/>
      <w:r w:rsidRPr="007F1315">
        <w:rPr>
          <w:rFonts w:ascii="Calibri" w:eastAsia="Times New Roman" w:hAnsi="Calibri" w:cs="Calibri"/>
          <w:sz w:val="22"/>
          <w:lang w:eastAsia="nb-NO"/>
        </w:rPr>
        <w:t>which</w:t>
      </w:r>
      <w:proofErr w:type="spellEnd"/>
      <w:r w:rsidRPr="007F1315">
        <w:rPr>
          <w:rFonts w:ascii="Calibri" w:eastAsia="Times New Roman" w:hAnsi="Calibri" w:cs="Calibri"/>
          <w:sz w:val="22"/>
          <w:lang w:eastAsia="nb-NO"/>
        </w:rPr>
        <w:t xml:space="preserve"> </w:t>
      </w:r>
      <w:proofErr w:type="spellStart"/>
      <w:r w:rsidRPr="007F1315">
        <w:rPr>
          <w:rFonts w:ascii="Calibri" w:eastAsia="Times New Roman" w:hAnsi="Calibri" w:cs="Calibri"/>
          <w:sz w:val="22"/>
          <w:lang w:eastAsia="nb-NO"/>
        </w:rPr>
        <w:t>technical</w:t>
      </w:r>
      <w:proofErr w:type="spellEnd"/>
      <w:r w:rsidRPr="007F1315">
        <w:rPr>
          <w:rFonts w:ascii="Calibri" w:eastAsia="Times New Roman" w:hAnsi="Calibri" w:cs="Calibri"/>
          <w:sz w:val="22"/>
          <w:lang w:eastAsia="nb-NO"/>
        </w:rPr>
        <w:t xml:space="preserve"> </w:t>
      </w:r>
      <w:proofErr w:type="spellStart"/>
      <w:r w:rsidRPr="007F1315">
        <w:rPr>
          <w:rFonts w:ascii="Calibri" w:eastAsia="Times New Roman" w:hAnsi="Calibri" w:cs="Calibri"/>
          <w:sz w:val="22"/>
          <w:lang w:eastAsia="nb-NO"/>
        </w:rPr>
        <w:t>measures</w:t>
      </w:r>
      <w:proofErr w:type="spellEnd"/>
      <w:r w:rsidRPr="007F1315">
        <w:rPr>
          <w:rFonts w:ascii="Calibri" w:eastAsia="Times New Roman" w:hAnsi="Calibri" w:cs="Calibri"/>
          <w:sz w:val="22"/>
          <w:lang w:eastAsia="nb-NO"/>
        </w:rPr>
        <w:t xml:space="preserve"> </w:t>
      </w:r>
      <w:proofErr w:type="spellStart"/>
      <w:r w:rsidRPr="007F1315">
        <w:rPr>
          <w:rFonts w:ascii="Calibri" w:eastAsia="Times New Roman" w:hAnsi="Calibri" w:cs="Calibri"/>
          <w:sz w:val="22"/>
          <w:lang w:eastAsia="nb-NO"/>
        </w:rPr>
        <w:t>are</w:t>
      </w:r>
      <w:proofErr w:type="spellEnd"/>
      <w:r w:rsidRPr="007F1315">
        <w:rPr>
          <w:rFonts w:ascii="Calibri" w:eastAsia="Times New Roman" w:hAnsi="Calibri" w:cs="Calibri"/>
          <w:sz w:val="22"/>
          <w:lang w:eastAsia="nb-NO"/>
        </w:rPr>
        <w:t xml:space="preserve"> </w:t>
      </w:r>
      <w:proofErr w:type="spellStart"/>
      <w:r w:rsidRPr="007F1315">
        <w:rPr>
          <w:rFonts w:ascii="Calibri" w:eastAsia="Times New Roman" w:hAnsi="Calibri" w:cs="Calibri"/>
          <w:sz w:val="22"/>
          <w:lang w:eastAsia="nb-NO"/>
        </w:rPr>
        <w:t>taken</w:t>
      </w:r>
      <w:proofErr w:type="spellEnd"/>
      <w:r w:rsidRPr="007F1315">
        <w:rPr>
          <w:rFonts w:ascii="Calibri" w:eastAsia="Times New Roman" w:hAnsi="Calibri" w:cs="Calibri"/>
          <w:sz w:val="22"/>
          <w:lang w:eastAsia="nb-NO"/>
        </w:rPr>
        <w:t xml:space="preserve"> to </w:t>
      </w:r>
      <w:proofErr w:type="spellStart"/>
      <w:r w:rsidRPr="007F1315">
        <w:rPr>
          <w:rFonts w:ascii="Calibri" w:eastAsia="Times New Roman" w:hAnsi="Calibri" w:cs="Calibri"/>
          <w:sz w:val="22"/>
          <w:lang w:eastAsia="nb-NO"/>
        </w:rPr>
        <w:t>ensure</w:t>
      </w:r>
      <w:proofErr w:type="spellEnd"/>
      <w:r w:rsidRPr="007F1315">
        <w:rPr>
          <w:rFonts w:ascii="Calibri" w:eastAsia="Times New Roman" w:hAnsi="Calibri" w:cs="Calibri"/>
          <w:sz w:val="22"/>
          <w:lang w:eastAsia="nb-NO"/>
        </w:rPr>
        <w:t xml:space="preserve"> </w:t>
      </w:r>
      <w:proofErr w:type="spellStart"/>
      <w:r w:rsidRPr="007F1315">
        <w:rPr>
          <w:rFonts w:ascii="Calibri" w:eastAsia="Times New Roman" w:hAnsi="Calibri" w:cs="Calibri"/>
          <w:sz w:val="22"/>
          <w:lang w:eastAsia="nb-NO"/>
        </w:rPr>
        <w:t>that</w:t>
      </w:r>
      <w:proofErr w:type="spellEnd"/>
      <w:r w:rsidRPr="007F1315">
        <w:rPr>
          <w:rFonts w:ascii="Calibri" w:eastAsia="Times New Roman" w:hAnsi="Calibri" w:cs="Calibri"/>
          <w:sz w:val="22"/>
          <w:lang w:eastAsia="nb-NO"/>
        </w:rPr>
        <w:t xml:space="preserve"> Personal Data is not </w:t>
      </w:r>
      <w:proofErr w:type="spellStart"/>
      <w:r w:rsidRPr="007F1315">
        <w:rPr>
          <w:rFonts w:ascii="Calibri" w:eastAsia="Times New Roman" w:hAnsi="Calibri" w:cs="Calibri"/>
          <w:sz w:val="22"/>
          <w:lang w:eastAsia="nb-NO"/>
        </w:rPr>
        <w:t>exposed</w:t>
      </w:r>
      <w:proofErr w:type="spellEnd"/>
      <w:r w:rsidRPr="007F1315">
        <w:rPr>
          <w:rFonts w:ascii="Calibri" w:eastAsia="Times New Roman" w:hAnsi="Calibri" w:cs="Calibri"/>
          <w:sz w:val="22"/>
          <w:lang w:eastAsia="nb-NO"/>
        </w:rPr>
        <w:t xml:space="preserve"> to </w:t>
      </w:r>
      <w:proofErr w:type="spellStart"/>
      <w:r w:rsidRPr="007F1315">
        <w:rPr>
          <w:rFonts w:ascii="Calibri" w:eastAsia="Times New Roman" w:hAnsi="Calibri" w:cs="Calibri"/>
          <w:sz w:val="22"/>
          <w:lang w:eastAsia="nb-NO"/>
        </w:rPr>
        <w:t>interception</w:t>
      </w:r>
      <w:proofErr w:type="spellEnd"/>
      <w:r w:rsidRPr="007F1315">
        <w:rPr>
          <w:rFonts w:ascii="Calibri" w:eastAsia="Times New Roman" w:hAnsi="Calibri" w:cs="Calibri"/>
          <w:sz w:val="22"/>
          <w:lang w:eastAsia="nb-NO"/>
        </w:rPr>
        <w:t xml:space="preserve"> by </w:t>
      </w:r>
      <w:proofErr w:type="spellStart"/>
      <w:r w:rsidRPr="007F1315">
        <w:rPr>
          <w:rFonts w:ascii="Calibri" w:eastAsia="Times New Roman" w:hAnsi="Calibri" w:cs="Calibri"/>
          <w:sz w:val="22"/>
          <w:lang w:eastAsia="nb-NO"/>
        </w:rPr>
        <w:t>the</w:t>
      </w:r>
      <w:proofErr w:type="spellEnd"/>
      <w:r w:rsidRPr="007F1315">
        <w:rPr>
          <w:rFonts w:ascii="Calibri" w:eastAsia="Times New Roman" w:hAnsi="Calibri" w:cs="Calibri"/>
          <w:sz w:val="22"/>
          <w:lang w:eastAsia="nb-NO"/>
        </w:rPr>
        <w:t xml:space="preserve"> US </w:t>
      </w:r>
      <w:proofErr w:type="spellStart"/>
      <w:r w:rsidRPr="007F1315">
        <w:rPr>
          <w:rFonts w:ascii="Calibri" w:eastAsia="Times New Roman" w:hAnsi="Calibri" w:cs="Calibri"/>
          <w:sz w:val="22"/>
          <w:lang w:eastAsia="nb-NO"/>
        </w:rPr>
        <w:t>government</w:t>
      </w:r>
      <w:proofErr w:type="spellEnd"/>
      <w:r w:rsidRPr="007F1315">
        <w:rPr>
          <w:rFonts w:ascii="Calibri" w:eastAsia="Times New Roman" w:hAnsi="Calibri" w:cs="Calibri"/>
          <w:sz w:val="22"/>
          <w:lang w:eastAsia="nb-NO"/>
        </w:rPr>
        <w:t xml:space="preserve"> </w:t>
      </w:r>
      <w:proofErr w:type="spellStart"/>
      <w:r w:rsidRPr="007F1315">
        <w:rPr>
          <w:rFonts w:ascii="Calibri" w:eastAsia="Times New Roman" w:hAnsi="Calibri" w:cs="Calibri"/>
          <w:sz w:val="22"/>
          <w:lang w:eastAsia="nb-NO"/>
        </w:rPr>
        <w:t>including</w:t>
      </w:r>
      <w:proofErr w:type="spellEnd"/>
      <w:r w:rsidRPr="007F1315">
        <w:rPr>
          <w:rFonts w:ascii="Calibri" w:eastAsia="Times New Roman" w:hAnsi="Calibri" w:cs="Calibri"/>
          <w:sz w:val="22"/>
          <w:lang w:eastAsia="nb-NO"/>
        </w:rPr>
        <w:t xml:space="preserve"> in </w:t>
      </w:r>
      <w:proofErr w:type="spellStart"/>
      <w:r w:rsidRPr="007F1315">
        <w:rPr>
          <w:rFonts w:ascii="Calibri" w:eastAsia="Times New Roman" w:hAnsi="Calibri" w:cs="Calibri"/>
          <w:sz w:val="22"/>
          <w:lang w:eastAsia="nb-NO"/>
        </w:rPr>
        <w:t>transit</w:t>
      </w:r>
      <w:proofErr w:type="spellEnd"/>
      <w:r w:rsidRPr="007F1315">
        <w:rPr>
          <w:rFonts w:ascii="Calibri" w:eastAsia="Times New Roman" w:hAnsi="Calibri" w:cs="Calibri"/>
          <w:sz w:val="22"/>
          <w:lang w:eastAsia="nb-NO"/>
        </w:rPr>
        <w:t>?</w:t>
      </w:r>
    </w:p>
    <w:p w:rsidR="007771AD" w:rsidRDefault="007771AD" w:rsidP="007F1315">
      <w:pPr>
        <w:spacing w:after="0" w:line="240" w:lineRule="auto"/>
        <w:ind w:left="540"/>
        <w:rPr>
          <w:rFonts w:ascii="Calibri" w:eastAsia="Times New Roman" w:hAnsi="Calibri" w:cs="Calibri"/>
          <w:sz w:val="22"/>
          <w:lang w:eastAsia="nb-NO"/>
        </w:rPr>
      </w:pPr>
    </w:p>
    <w:p w:rsidR="007771AD" w:rsidRPr="007771AD" w:rsidRDefault="007771AD" w:rsidP="007771AD">
      <w:pPr>
        <w:spacing w:after="0" w:line="240" w:lineRule="auto"/>
        <w:ind w:left="540"/>
        <w:rPr>
          <w:rFonts w:ascii="Calibri" w:eastAsia="Times New Roman" w:hAnsi="Calibri" w:cs="Calibri"/>
          <w:sz w:val="22"/>
          <w:lang w:eastAsia="nb-NO"/>
        </w:rPr>
      </w:pPr>
      <w:r w:rsidRPr="007771AD">
        <w:rPr>
          <w:rFonts w:ascii="Calibri" w:eastAsia="Times New Roman" w:hAnsi="Calibri" w:cs="Calibri"/>
          <w:sz w:val="22"/>
          <w:lang w:eastAsia="nb-NO"/>
        </w:rPr>
        <w:t xml:space="preserve">In </w:t>
      </w:r>
      <w:proofErr w:type="spellStart"/>
      <w:r w:rsidRPr="007771AD">
        <w:rPr>
          <w:rFonts w:ascii="Calibri" w:eastAsia="Times New Roman" w:hAnsi="Calibri" w:cs="Calibri"/>
          <w:sz w:val="22"/>
          <w:lang w:eastAsia="nb-NO"/>
        </w:rPr>
        <w:t>the</w:t>
      </w:r>
      <w:proofErr w:type="spellEnd"/>
      <w:r w:rsidRPr="007771AD">
        <w:rPr>
          <w:rFonts w:ascii="Calibri" w:eastAsia="Times New Roman" w:hAnsi="Calibri" w:cs="Calibri"/>
          <w:sz w:val="22"/>
          <w:lang w:eastAsia="nb-NO"/>
        </w:rPr>
        <w:t xml:space="preserve"> </w:t>
      </w:r>
      <w:proofErr w:type="spellStart"/>
      <w:r w:rsidRPr="007771AD">
        <w:rPr>
          <w:rFonts w:ascii="Calibri" w:eastAsia="Times New Roman" w:hAnsi="Calibri" w:cs="Calibri"/>
          <w:sz w:val="22"/>
          <w:lang w:eastAsia="nb-NO"/>
        </w:rPr>
        <w:t>event</w:t>
      </w:r>
      <w:proofErr w:type="spellEnd"/>
      <w:r w:rsidRPr="007771AD">
        <w:rPr>
          <w:rFonts w:ascii="Calibri" w:eastAsia="Times New Roman" w:hAnsi="Calibri" w:cs="Calibri"/>
          <w:sz w:val="22"/>
          <w:lang w:eastAsia="nb-NO"/>
        </w:rPr>
        <w:t xml:space="preserve"> Microsoft transfers Personal Data to </w:t>
      </w:r>
      <w:proofErr w:type="spellStart"/>
      <w:r w:rsidRPr="007771AD">
        <w:rPr>
          <w:rFonts w:ascii="Calibri" w:eastAsia="Times New Roman" w:hAnsi="Calibri" w:cs="Calibri"/>
          <w:sz w:val="22"/>
          <w:lang w:eastAsia="nb-NO"/>
        </w:rPr>
        <w:t>the</w:t>
      </w:r>
      <w:proofErr w:type="spellEnd"/>
      <w:r w:rsidRPr="007771AD">
        <w:rPr>
          <w:rFonts w:ascii="Calibri" w:eastAsia="Times New Roman" w:hAnsi="Calibri" w:cs="Calibri"/>
          <w:sz w:val="22"/>
          <w:lang w:eastAsia="nb-NO"/>
        </w:rPr>
        <w:t xml:space="preserve"> US. do </w:t>
      </w:r>
      <w:proofErr w:type="spellStart"/>
      <w:r w:rsidRPr="007771AD">
        <w:rPr>
          <w:rFonts w:ascii="Calibri" w:eastAsia="Times New Roman" w:hAnsi="Calibri" w:cs="Calibri"/>
          <w:sz w:val="22"/>
          <w:lang w:eastAsia="nb-NO"/>
        </w:rPr>
        <w:t>any</w:t>
      </w:r>
      <w:proofErr w:type="spellEnd"/>
      <w:r w:rsidRPr="007771AD">
        <w:rPr>
          <w:rFonts w:ascii="Calibri" w:eastAsia="Times New Roman" w:hAnsi="Calibri" w:cs="Calibri"/>
          <w:sz w:val="22"/>
          <w:lang w:eastAsia="nb-NO"/>
        </w:rPr>
        <w:t xml:space="preserve"> </w:t>
      </w:r>
      <w:proofErr w:type="spellStart"/>
      <w:r w:rsidRPr="007771AD">
        <w:rPr>
          <w:rFonts w:ascii="Calibri" w:eastAsia="Times New Roman" w:hAnsi="Calibri" w:cs="Calibri"/>
          <w:sz w:val="22"/>
          <w:lang w:eastAsia="nb-NO"/>
        </w:rPr>
        <w:t>of</w:t>
      </w:r>
      <w:proofErr w:type="spellEnd"/>
      <w:r w:rsidRPr="007771AD">
        <w:rPr>
          <w:rFonts w:ascii="Calibri" w:eastAsia="Times New Roman" w:hAnsi="Calibri" w:cs="Calibri"/>
          <w:sz w:val="22"/>
          <w:lang w:eastAsia="nb-NO"/>
        </w:rPr>
        <w:t xml:space="preserve"> </w:t>
      </w:r>
      <w:proofErr w:type="spellStart"/>
      <w:r w:rsidRPr="007771AD">
        <w:rPr>
          <w:rFonts w:ascii="Calibri" w:eastAsia="Times New Roman" w:hAnsi="Calibri" w:cs="Calibri"/>
          <w:sz w:val="22"/>
          <w:lang w:eastAsia="nb-NO"/>
        </w:rPr>
        <w:t>Microsoft's</w:t>
      </w:r>
      <w:proofErr w:type="spellEnd"/>
      <w:r w:rsidRPr="007771AD">
        <w:rPr>
          <w:rFonts w:ascii="Calibri" w:eastAsia="Times New Roman" w:hAnsi="Calibri" w:cs="Calibri"/>
          <w:sz w:val="22"/>
          <w:lang w:eastAsia="nb-NO"/>
        </w:rPr>
        <w:t xml:space="preserve"> partners. </w:t>
      </w:r>
      <w:proofErr w:type="spellStart"/>
      <w:r w:rsidRPr="007771AD">
        <w:rPr>
          <w:rFonts w:ascii="Calibri" w:eastAsia="Times New Roman" w:hAnsi="Calibri" w:cs="Calibri"/>
          <w:sz w:val="22"/>
          <w:lang w:eastAsia="nb-NO"/>
        </w:rPr>
        <w:t>affiliates</w:t>
      </w:r>
      <w:proofErr w:type="spellEnd"/>
      <w:r w:rsidRPr="007771AD">
        <w:rPr>
          <w:rFonts w:ascii="Calibri" w:eastAsia="Times New Roman" w:hAnsi="Calibri" w:cs="Calibri"/>
          <w:sz w:val="22"/>
          <w:lang w:eastAsia="nb-NO"/>
        </w:rPr>
        <w:t xml:space="preserve"> and/or </w:t>
      </w:r>
      <w:proofErr w:type="spellStart"/>
      <w:r w:rsidRPr="007771AD">
        <w:rPr>
          <w:rFonts w:ascii="Calibri" w:eastAsia="Times New Roman" w:hAnsi="Calibri" w:cs="Calibri"/>
          <w:sz w:val="22"/>
          <w:lang w:eastAsia="nb-NO"/>
        </w:rPr>
        <w:t>subprocessors</w:t>
      </w:r>
      <w:proofErr w:type="spellEnd"/>
      <w:r w:rsidRPr="007771AD">
        <w:rPr>
          <w:rFonts w:ascii="Calibri" w:eastAsia="Times New Roman" w:hAnsi="Calibri" w:cs="Calibri"/>
          <w:sz w:val="22"/>
          <w:lang w:eastAsia="nb-NO"/>
        </w:rPr>
        <w:t xml:space="preserve"> fall under 50 U.S. Code 51881a (Foreign </w:t>
      </w:r>
      <w:proofErr w:type="spellStart"/>
      <w:r w:rsidRPr="007771AD">
        <w:rPr>
          <w:rFonts w:ascii="Calibri" w:eastAsia="Times New Roman" w:hAnsi="Calibri" w:cs="Calibri"/>
          <w:sz w:val="22"/>
          <w:lang w:eastAsia="nb-NO"/>
        </w:rPr>
        <w:t>Intelligence</w:t>
      </w:r>
      <w:proofErr w:type="spellEnd"/>
      <w:r w:rsidRPr="007771AD">
        <w:rPr>
          <w:rFonts w:ascii="Calibri" w:eastAsia="Times New Roman" w:hAnsi="Calibri" w:cs="Calibri"/>
          <w:sz w:val="22"/>
          <w:lang w:eastAsia="nb-NO"/>
        </w:rPr>
        <w:t xml:space="preserve"> </w:t>
      </w:r>
      <w:proofErr w:type="spellStart"/>
      <w:r w:rsidRPr="007771AD">
        <w:rPr>
          <w:rFonts w:ascii="Calibri" w:eastAsia="Times New Roman" w:hAnsi="Calibri" w:cs="Calibri"/>
          <w:sz w:val="22"/>
          <w:lang w:eastAsia="nb-NO"/>
        </w:rPr>
        <w:t>Surveillance</w:t>
      </w:r>
      <w:proofErr w:type="spellEnd"/>
      <w:r w:rsidRPr="007771AD">
        <w:rPr>
          <w:rFonts w:ascii="Calibri" w:eastAsia="Times New Roman" w:hAnsi="Calibri" w:cs="Calibri"/>
          <w:sz w:val="22"/>
          <w:lang w:eastAsia="nb-NO"/>
        </w:rPr>
        <w:t xml:space="preserve"> </w:t>
      </w:r>
      <w:proofErr w:type="spellStart"/>
      <w:r w:rsidRPr="007771AD">
        <w:rPr>
          <w:rFonts w:ascii="Calibri" w:eastAsia="Times New Roman" w:hAnsi="Calibri" w:cs="Calibri"/>
          <w:sz w:val="22"/>
          <w:lang w:eastAsia="nb-NO"/>
        </w:rPr>
        <w:t>Act</w:t>
      </w:r>
      <w:proofErr w:type="spellEnd"/>
      <w:r w:rsidRPr="007771AD">
        <w:rPr>
          <w:rFonts w:ascii="Calibri" w:eastAsia="Times New Roman" w:hAnsi="Calibri" w:cs="Calibri"/>
          <w:sz w:val="22"/>
          <w:lang w:eastAsia="nb-NO"/>
        </w:rPr>
        <w:t xml:space="preserve"> 702) or in </w:t>
      </w:r>
      <w:proofErr w:type="spellStart"/>
      <w:r w:rsidRPr="007771AD">
        <w:rPr>
          <w:rFonts w:ascii="Calibri" w:eastAsia="Times New Roman" w:hAnsi="Calibri" w:cs="Calibri"/>
          <w:sz w:val="22"/>
          <w:lang w:eastAsia="nb-NO"/>
        </w:rPr>
        <w:t>any</w:t>
      </w:r>
      <w:proofErr w:type="spellEnd"/>
      <w:r w:rsidRPr="007771AD">
        <w:rPr>
          <w:rFonts w:ascii="Calibri" w:eastAsia="Times New Roman" w:hAnsi="Calibri" w:cs="Calibri"/>
          <w:sz w:val="22"/>
          <w:lang w:eastAsia="nb-NO"/>
        </w:rPr>
        <w:t xml:space="preserve"> </w:t>
      </w:r>
      <w:proofErr w:type="spellStart"/>
      <w:r w:rsidRPr="007771AD">
        <w:rPr>
          <w:rFonts w:ascii="Calibri" w:eastAsia="Times New Roman" w:hAnsi="Calibri" w:cs="Calibri"/>
          <w:sz w:val="22"/>
          <w:lang w:eastAsia="nb-NO"/>
        </w:rPr>
        <w:t>way</w:t>
      </w:r>
      <w:proofErr w:type="spellEnd"/>
      <w:r w:rsidRPr="007771AD">
        <w:rPr>
          <w:rFonts w:ascii="Calibri" w:eastAsia="Times New Roman" w:hAnsi="Calibri" w:cs="Calibri"/>
          <w:sz w:val="22"/>
          <w:lang w:eastAsia="nb-NO"/>
        </w:rPr>
        <w:t xml:space="preserve"> </w:t>
      </w:r>
      <w:proofErr w:type="spellStart"/>
      <w:r w:rsidRPr="007771AD">
        <w:rPr>
          <w:rFonts w:ascii="Calibri" w:eastAsia="Times New Roman" w:hAnsi="Calibri" w:cs="Calibri"/>
          <w:sz w:val="22"/>
          <w:lang w:eastAsia="nb-NO"/>
        </w:rPr>
        <w:t>provide</w:t>
      </w:r>
      <w:proofErr w:type="spellEnd"/>
      <w:r w:rsidRPr="007771AD">
        <w:rPr>
          <w:rFonts w:ascii="Calibri" w:eastAsia="Times New Roman" w:hAnsi="Calibri" w:cs="Calibri"/>
          <w:sz w:val="22"/>
          <w:lang w:eastAsia="nb-NO"/>
        </w:rPr>
        <w:t xml:space="preserve"> data to </w:t>
      </w:r>
      <w:proofErr w:type="spellStart"/>
      <w:r w:rsidRPr="007771AD">
        <w:rPr>
          <w:rFonts w:ascii="Calibri" w:eastAsia="Times New Roman" w:hAnsi="Calibri" w:cs="Calibri"/>
          <w:sz w:val="22"/>
          <w:lang w:eastAsia="nb-NO"/>
        </w:rPr>
        <w:t>the</w:t>
      </w:r>
      <w:proofErr w:type="spellEnd"/>
      <w:r w:rsidRPr="007771AD">
        <w:rPr>
          <w:rFonts w:ascii="Calibri" w:eastAsia="Times New Roman" w:hAnsi="Calibri" w:cs="Calibri"/>
          <w:sz w:val="22"/>
          <w:lang w:eastAsia="nb-NO"/>
        </w:rPr>
        <w:t xml:space="preserve"> US </w:t>
      </w:r>
      <w:proofErr w:type="spellStart"/>
      <w:r w:rsidRPr="007771AD">
        <w:rPr>
          <w:rFonts w:ascii="Calibri" w:eastAsia="Times New Roman" w:hAnsi="Calibri" w:cs="Calibri"/>
          <w:sz w:val="22"/>
          <w:lang w:eastAsia="nb-NO"/>
        </w:rPr>
        <w:t>government</w:t>
      </w:r>
      <w:proofErr w:type="spellEnd"/>
      <w:r w:rsidRPr="007771AD">
        <w:rPr>
          <w:rFonts w:ascii="Calibri" w:eastAsia="Times New Roman" w:hAnsi="Calibri" w:cs="Calibri"/>
          <w:sz w:val="22"/>
          <w:lang w:eastAsia="nb-NO"/>
        </w:rPr>
        <w:t xml:space="preserve"> under E.O. 12.333? </w:t>
      </w:r>
    </w:p>
    <w:p w:rsidR="007771AD" w:rsidRDefault="007771AD" w:rsidP="007771AD">
      <w:pPr>
        <w:spacing w:after="0" w:line="240" w:lineRule="auto"/>
        <w:ind w:left="540"/>
        <w:rPr>
          <w:rFonts w:ascii="Calibri" w:eastAsia="Times New Roman" w:hAnsi="Calibri" w:cs="Calibri"/>
          <w:sz w:val="22"/>
          <w:lang w:eastAsia="nb-NO"/>
        </w:rPr>
      </w:pPr>
    </w:p>
    <w:p w:rsidR="007771AD" w:rsidRPr="007F1315" w:rsidRDefault="007771AD" w:rsidP="007771AD">
      <w:pPr>
        <w:spacing w:after="0" w:line="240" w:lineRule="auto"/>
        <w:ind w:left="540"/>
        <w:rPr>
          <w:rFonts w:ascii="Calibri" w:eastAsia="Times New Roman" w:hAnsi="Calibri" w:cs="Calibri"/>
          <w:sz w:val="22"/>
          <w:lang w:eastAsia="nb-NO"/>
        </w:rPr>
      </w:pPr>
      <w:r w:rsidRPr="007771AD">
        <w:rPr>
          <w:rFonts w:ascii="Calibri" w:eastAsia="Times New Roman" w:hAnsi="Calibri" w:cs="Calibri"/>
          <w:sz w:val="22"/>
          <w:lang w:eastAsia="nb-NO"/>
        </w:rPr>
        <w:t xml:space="preserve">If </w:t>
      </w:r>
      <w:proofErr w:type="spellStart"/>
      <w:r w:rsidRPr="007771AD">
        <w:rPr>
          <w:rFonts w:ascii="Calibri" w:eastAsia="Times New Roman" w:hAnsi="Calibri" w:cs="Calibri"/>
          <w:sz w:val="22"/>
          <w:lang w:eastAsia="nb-NO"/>
        </w:rPr>
        <w:t>yes</w:t>
      </w:r>
      <w:proofErr w:type="spellEnd"/>
      <w:r w:rsidRPr="007771AD">
        <w:rPr>
          <w:rFonts w:ascii="Calibri" w:eastAsia="Times New Roman" w:hAnsi="Calibri" w:cs="Calibri"/>
          <w:sz w:val="22"/>
          <w:lang w:eastAsia="nb-NO"/>
        </w:rPr>
        <w:t xml:space="preserve">, </w:t>
      </w:r>
      <w:proofErr w:type="spellStart"/>
      <w:r w:rsidRPr="007771AD">
        <w:rPr>
          <w:rFonts w:ascii="Calibri" w:eastAsia="Times New Roman" w:hAnsi="Calibri" w:cs="Calibri"/>
          <w:sz w:val="22"/>
          <w:lang w:eastAsia="nb-NO"/>
        </w:rPr>
        <w:t>please</w:t>
      </w:r>
      <w:proofErr w:type="spellEnd"/>
      <w:r w:rsidRPr="007771AD">
        <w:rPr>
          <w:rFonts w:ascii="Calibri" w:eastAsia="Times New Roman" w:hAnsi="Calibri" w:cs="Calibri"/>
          <w:sz w:val="22"/>
          <w:lang w:eastAsia="nb-NO"/>
        </w:rPr>
        <w:t xml:space="preserve"> </w:t>
      </w:r>
      <w:proofErr w:type="spellStart"/>
      <w:r w:rsidRPr="007771AD">
        <w:rPr>
          <w:rFonts w:ascii="Calibri" w:eastAsia="Times New Roman" w:hAnsi="Calibri" w:cs="Calibri"/>
          <w:sz w:val="22"/>
          <w:lang w:eastAsia="nb-NO"/>
        </w:rPr>
        <w:t>specify</w:t>
      </w:r>
      <w:proofErr w:type="spellEnd"/>
      <w:r w:rsidRPr="007771AD">
        <w:rPr>
          <w:rFonts w:ascii="Calibri" w:eastAsia="Times New Roman" w:hAnsi="Calibri" w:cs="Calibri"/>
          <w:sz w:val="22"/>
          <w:lang w:eastAsia="nb-NO"/>
        </w:rPr>
        <w:t xml:space="preserve"> </w:t>
      </w:r>
      <w:proofErr w:type="spellStart"/>
      <w:r w:rsidRPr="007771AD">
        <w:rPr>
          <w:rFonts w:ascii="Calibri" w:eastAsia="Times New Roman" w:hAnsi="Calibri" w:cs="Calibri"/>
          <w:sz w:val="22"/>
          <w:lang w:eastAsia="nb-NO"/>
        </w:rPr>
        <w:t>the</w:t>
      </w:r>
      <w:proofErr w:type="spellEnd"/>
      <w:r w:rsidRPr="007771AD">
        <w:rPr>
          <w:rFonts w:ascii="Calibri" w:eastAsia="Times New Roman" w:hAnsi="Calibri" w:cs="Calibri"/>
          <w:sz w:val="22"/>
          <w:lang w:eastAsia="nb-NO"/>
        </w:rPr>
        <w:t xml:space="preserve"> </w:t>
      </w:r>
      <w:proofErr w:type="spellStart"/>
      <w:r w:rsidRPr="007771AD">
        <w:rPr>
          <w:rFonts w:ascii="Calibri" w:eastAsia="Times New Roman" w:hAnsi="Calibri" w:cs="Calibri"/>
          <w:sz w:val="22"/>
          <w:lang w:eastAsia="nb-NO"/>
        </w:rPr>
        <w:t>roles</w:t>
      </w:r>
      <w:proofErr w:type="spellEnd"/>
      <w:r w:rsidRPr="007771AD">
        <w:rPr>
          <w:rFonts w:ascii="Calibri" w:eastAsia="Times New Roman" w:hAnsi="Calibri" w:cs="Calibri"/>
          <w:sz w:val="22"/>
          <w:lang w:eastAsia="nb-NO"/>
        </w:rPr>
        <w:t xml:space="preserve"> </w:t>
      </w:r>
      <w:proofErr w:type="spellStart"/>
      <w:r w:rsidRPr="007771AD">
        <w:rPr>
          <w:rFonts w:ascii="Calibri" w:eastAsia="Times New Roman" w:hAnsi="Calibri" w:cs="Calibri"/>
          <w:sz w:val="22"/>
          <w:lang w:eastAsia="nb-NO"/>
        </w:rPr>
        <w:t>of</w:t>
      </w:r>
      <w:proofErr w:type="spellEnd"/>
      <w:r w:rsidRPr="007771AD">
        <w:rPr>
          <w:rFonts w:ascii="Calibri" w:eastAsia="Times New Roman" w:hAnsi="Calibri" w:cs="Calibri"/>
          <w:sz w:val="22"/>
          <w:lang w:eastAsia="nb-NO"/>
        </w:rPr>
        <w:t xml:space="preserve"> </w:t>
      </w:r>
      <w:proofErr w:type="spellStart"/>
      <w:r w:rsidRPr="007771AD">
        <w:rPr>
          <w:rFonts w:ascii="Calibri" w:eastAsia="Times New Roman" w:hAnsi="Calibri" w:cs="Calibri"/>
          <w:sz w:val="22"/>
          <w:lang w:eastAsia="nb-NO"/>
        </w:rPr>
        <w:t>concerned</w:t>
      </w:r>
      <w:proofErr w:type="spellEnd"/>
      <w:r w:rsidRPr="007771AD">
        <w:rPr>
          <w:rFonts w:ascii="Calibri" w:eastAsia="Times New Roman" w:hAnsi="Calibri" w:cs="Calibri"/>
          <w:sz w:val="22"/>
          <w:lang w:eastAsia="nb-NO"/>
        </w:rPr>
        <w:t xml:space="preserve"> </w:t>
      </w:r>
      <w:proofErr w:type="spellStart"/>
      <w:r w:rsidRPr="007771AD">
        <w:rPr>
          <w:rFonts w:ascii="Calibri" w:eastAsia="Times New Roman" w:hAnsi="Calibri" w:cs="Calibri"/>
          <w:sz w:val="22"/>
          <w:lang w:eastAsia="nb-NO"/>
        </w:rPr>
        <w:t>parties</w:t>
      </w:r>
      <w:proofErr w:type="spellEnd"/>
      <w:r w:rsidRPr="007771AD">
        <w:rPr>
          <w:rFonts w:ascii="Calibri" w:eastAsia="Times New Roman" w:hAnsi="Calibri" w:cs="Calibri"/>
          <w:sz w:val="22"/>
          <w:lang w:eastAsia="nb-NO"/>
        </w:rPr>
        <w:t xml:space="preserve">. </w:t>
      </w:r>
    </w:p>
    <w:p w:rsidR="007F1315" w:rsidRPr="007F1315" w:rsidRDefault="007F1315" w:rsidP="007F1315">
      <w:pPr>
        <w:spacing w:after="0" w:line="240" w:lineRule="auto"/>
        <w:ind w:left="540"/>
        <w:rPr>
          <w:rFonts w:ascii="Calibri" w:eastAsia="Times New Roman" w:hAnsi="Calibri" w:cs="Calibri"/>
          <w:sz w:val="22"/>
          <w:lang w:eastAsia="nb-NO"/>
        </w:rPr>
      </w:pPr>
      <w:r w:rsidRPr="007F1315">
        <w:rPr>
          <w:rFonts w:ascii="Calibri" w:eastAsia="Times New Roman" w:hAnsi="Calibri" w:cs="Calibri"/>
          <w:sz w:val="22"/>
          <w:lang w:eastAsia="nb-NO"/>
        </w:rPr>
        <w:t> </w:t>
      </w:r>
    </w:p>
    <w:p w:rsidR="007F1315" w:rsidRPr="007F1315" w:rsidRDefault="007F1315" w:rsidP="007F1315">
      <w:pPr>
        <w:numPr>
          <w:ilvl w:val="0"/>
          <w:numId w:val="7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b/>
          <w:bCs/>
          <w:sz w:val="22"/>
          <w:lang w:eastAsia="nb-NO"/>
        </w:rPr>
      </w:pPr>
      <w:proofErr w:type="spellStart"/>
      <w:r w:rsidRPr="007F1315">
        <w:rPr>
          <w:rFonts w:ascii="Calibri" w:eastAsia="Times New Roman" w:hAnsi="Calibri" w:cs="Calibri"/>
          <w:b/>
          <w:bCs/>
          <w:sz w:val="22"/>
          <w:lang w:eastAsia="nb-NO"/>
        </w:rPr>
        <w:t>Proactive</w:t>
      </w:r>
      <w:proofErr w:type="spellEnd"/>
      <w:r w:rsidRPr="007F1315">
        <w:rPr>
          <w:rFonts w:ascii="Calibri" w:eastAsia="Times New Roman" w:hAnsi="Calibri" w:cs="Calibri"/>
          <w:b/>
          <w:bCs/>
          <w:sz w:val="22"/>
          <w:lang w:eastAsia="nb-NO"/>
        </w:rPr>
        <w:t xml:space="preserve"> </w:t>
      </w:r>
      <w:proofErr w:type="spellStart"/>
      <w:r w:rsidRPr="007F1315">
        <w:rPr>
          <w:rFonts w:ascii="Calibri" w:eastAsia="Times New Roman" w:hAnsi="Calibri" w:cs="Calibri"/>
          <w:b/>
          <w:bCs/>
          <w:sz w:val="22"/>
          <w:lang w:eastAsia="nb-NO"/>
        </w:rPr>
        <w:t>measures</w:t>
      </w:r>
      <w:proofErr w:type="spellEnd"/>
    </w:p>
    <w:p w:rsidR="007F1315" w:rsidRDefault="007F1315" w:rsidP="007F1315">
      <w:pPr>
        <w:spacing w:after="0" w:line="240" w:lineRule="auto"/>
        <w:ind w:left="540"/>
        <w:rPr>
          <w:rFonts w:ascii="Calibri" w:eastAsia="Times New Roman" w:hAnsi="Calibri" w:cs="Calibri"/>
          <w:sz w:val="22"/>
          <w:lang w:eastAsia="nb-NO"/>
        </w:rPr>
      </w:pPr>
      <w:proofErr w:type="spellStart"/>
      <w:r w:rsidRPr="007F1315">
        <w:rPr>
          <w:rFonts w:ascii="Calibri" w:eastAsia="Times New Roman" w:hAnsi="Calibri" w:cs="Calibri"/>
          <w:sz w:val="22"/>
          <w:lang w:eastAsia="nb-NO"/>
        </w:rPr>
        <w:t>Which</w:t>
      </w:r>
      <w:proofErr w:type="spellEnd"/>
      <w:r w:rsidRPr="007F1315">
        <w:rPr>
          <w:rFonts w:ascii="Calibri" w:eastAsia="Times New Roman" w:hAnsi="Calibri" w:cs="Calibri"/>
          <w:sz w:val="22"/>
          <w:lang w:eastAsia="nb-NO"/>
        </w:rPr>
        <w:t xml:space="preserve"> </w:t>
      </w:r>
      <w:proofErr w:type="spellStart"/>
      <w:r w:rsidRPr="007F1315">
        <w:rPr>
          <w:rFonts w:ascii="Calibri" w:eastAsia="Times New Roman" w:hAnsi="Calibri" w:cs="Calibri"/>
          <w:sz w:val="22"/>
          <w:lang w:eastAsia="nb-NO"/>
        </w:rPr>
        <w:t>specific</w:t>
      </w:r>
      <w:proofErr w:type="spellEnd"/>
      <w:r w:rsidRPr="007F1315">
        <w:rPr>
          <w:rFonts w:ascii="Calibri" w:eastAsia="Times New Roman" w:hAnsi="Calibri" w:cs="Calibri"/>
          <w:sz w:val="22"/>
          <w:lang w:eastAsia="nb-NO"/>
        </w:rPr>
        <w:t xml:space="preserve"> </w:t>
      </w:r>
      <w:proofErr w:type="spellStart"/>
      <w:r w:rsidRPr="007F1315">
        <w:rPr>
          <w:rFonts w:ascii="Calibri" w:eastAsia="Times New Roman" w:hAnsi="Calibri" w:cs="Calibri"/>
          <w:sz w:val="22"/>
          <w:lang w:eastAsia="nb-NO"/>
        </w:rPr>
        <w:t>subprocessors</w:t>
      </w:r>
      <w:proofErr w:type="spellEnd"/>
      <w:r w:rsidRPr="007F1315">
        <w:rPr>
          <w:rFonts w:ascii="Calibri" w:eastAsia="Times New Roman" w:hAnsi="Calibri" w:cs="Calibri"/>
          <w:sz w:val="22"/>
          <w:lang w:eastAsia="nb-NO"/>
        </w:rPr>
        <w:t xml:space="preserve"> </w:t>
      </w:r>
      <w:proofErr w:type="spellStart"/>
      <w:r w:rsidRPr="007F1315">
        <w:rPr>
          <w:rFonts w:ascii="Calibri" w:eastAsia="Times New Roman" w:hAnsi="Calibri" w:cs="Calibri"/>
          <w:sz w:val="22"/>
          <w:lang w:eastAsia="nb-NO"/>
        </w:rPr>
        <w:t>process</w:t>
      </w:r>
      <w:proofErr w:type="spellEnd"/>
      <w:r w:rsidRPr="007F1315">
        <w:rPr>
          <w:rFonts w:ascii="Calibri" w:eastAsia="Times New Roman" w:hAnsi="Calibri" w:cs="Calibri"/>
          <w:sz w:val="22"/>
          <w:lang w:eastAsia="nb-NO"/>
        </w:rPr>
        <w:t xml:space="preserve"> or have </w:t>
      </w:r>
      <w:proofErr w:type="spellStart"/>
      <w:r w:rsidRPr="007F1315">
        <w:rPr>
          <w:rFonts w:ascii="Calibri" w:eastAsia="Times New Roman" w:hAnsi="Calibri" w:cs="Calibri"/>
          <w:sz w:val="22"/>
          <w:lang w:eastAsia="nb-NO"/>
        </w:rPr>
        <w:t>access</w:t>
      </w:r>
      <w:proofErr w:type="spellEnd"/>
      <w:r w:rsidRPr="007F1315">
        <w:rPr>
          <w:rFonts w:ascii="Calibri" w:eastAsia="Times New Roman" w:hAnsi="Calibri" w:cs="Calibri"/>
          <w:sz w:val="22"/>
          <w:lang w:eastAsia="nb-NO"/>
        </w:rPr>
        <w:t xml:space="preserve"> to personal Data?</w:t>
      </w:r>
    </w:p>
    <w:p w:rsidR="00ED167B" w:rsidRPr="007F1315" w:rsidRDefault="00ED167B" w:rsidP="007F1315">
      <w:pPr>
        <w:spacing w:after="0" w:line="240" w:lineRule="auto"/>
        <w:ind w:left="540"/>
        <w:rPr>
          <w:rFonts w:ascii="Calibri" w:eastAsia="Times New Roman" w:hAnsi="Calibri" w:cs="Calibri"/>
          <w:sz w:val="22"/>
          <w:lang w:eastAsia="nb-NO"/>
        </w:rPr>
      </w:pPr>
    </w:p>
    <w:p w:rsidR="00ED167B" w:rsidRDefault="00ED167B" w:rsidP="00ED167B">
      <w:pPr>
        <w:numPr>
          <w:ilvl w:val="0"/>
          <w:numId w:val="9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b/>
          <w:bCs/>
          <w:sz w:val="22"/>
          <w:lang w:eastAsia="nb-NO"/>
        </w:rPr>
      </w:pPr>
      <w:proofErr w:type="spellStart"/>
      <w:r>
        <w:rPr>
          <w:rFonts w:ascii="Calibri" w:eastAsia="Times New Roman" w:hAnsi="Calibri" w:cs="Calibri"/>
          <w:b/>
          <w:bCs/>
          <w:sz w:val="22"/>
          <w:lang w:eastAsia="nb-NO"/>
        </w:rPr>
        <w:t>Proactive</w:t>
      </w:r>
      <w:proofErr w:type="spellEnd"/>
      <w:r>
        <w:rPr>
          <w:rFonts w:ascii="Calibri" w:eastAsia="Times New Roman" w:hAnsi="Calibri" w:cs="Calibri"/>
          <w:b/>
          <w:bCs/>
          <w:sz w:val="22"/>
          <w:lang w:eastAsia="nb-NO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sz w:val="22"/>
          <w:lang w:eastAsia="nb-NO"/>
        </w:rPr>
        <w:t>measures</w:t>
      </w:r>
      <w:proofErr w:type="spellEnd"/>
    </w:p>
    <w:p w:rsidR="00ED167B" w:rsidRDefault="00ED167B" w:rsidP="00ED167B">
      <w:pPr>
        <w:spacing w:after="0" w:line="240" w:lineRule="auto"/>
        <w:ind w:left="540"/>
        <w:rPr>
          <w:rFonts w:ascii="Calibri" w:eastAsia="Times New Roman" w:hAnsi="Calibri" w:cs="Calibri"/>
          <w:sz w:val="22"/>
          <w:lang w:eastAsia="nb-NO"/>
        </w:rPr>
      </w:pPr>
      <w:r>
        <w:rPr>
          <w:rFonts w:ascii="Calibri" w:eastAsia="Times New Roman" w:hAnsi="Calibri" w:cs="Calibri"/>
          <w:sz w:val="22"/>
          <w:lang w:eastAsia="nb-NO"/>
        </w:rPr>
        <w:t xml:space="preserve">How </w:t>
      </w:r>
      <w:proofErr w:type="spellStart"/>
      <w:r>
        <w:rPr>
          <w:rFonts w:ascii="Calibri" w:eastAsia="Times New Roman" w:hAnsi="Calibri" w:cs="Calibri"/>
          <w:sz w:val="22"/>
          <w:lang w:eastAsia="nb-NO"/>
        </w:rPr>
        <w:t>does</w:t>
      </w:r>
      <w:proofErr w:type="spellEnd"/>
      <w:r>
        <w:rPr>
          <w:rFonts w:ascii="Calibri" w:eastAsia="Times New Roman" w:hAnsi="Calibri" w:cs="Calibri"/>
          <w:sz w:val="22"/>
          <w:lang w:eastAsia="nb-NO"/>
        </w:rPr>
        <w:t xml:space="preserve"> Microsoft </w:t>
      </w:r>
      <w:proofErr w:type="spellStart"/>
      <w:r>
        <w:rPr>
          <w:rFonts w:ascii="Calibri" w:eastAsia="Times New Roman" w:hAnsi="Calibri" w:cs="Calibri"/>
          <w:sz w:val="22"/>
          <w:lang w:eastAsia="nb-NO"/>
        </w:rPr>
        <w:t>work</w:t>
      </w:r>
      <w:proofErr w:type="spellEnd"/>
      <w:r>
        <w:rPr>
          <w:rFonts w:ascii="Calibri" w:eastAsia="Times New Roman" w:hAnsi="Calibri" w:cs="Calibri"/>
          <w:sz w:val="22"/>
          <w:lang w:eastAsia="nb-NO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lang w:eastAsia="nb-NO"/>
        </w:rPr>
        <w:t>proactively</w:t>
      </w:r>
      <w:proofErr w:type="spellEnd"/>
      <w:r>
        <w:rPr>
          <w:rFonts w:ascii="Calibri" w:eastAsia="Times New Roman" w:hAnsi="Calibri" w:cs="Calibri"/>
          <w:sz w:val="22"/>
          <w:lang w:eastAsia="nb-NO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lang w:eastAsia="nb-NO"/>
        </w:rPr>
        <w:t>with</w:t>
      </w:r>
      <w:proofErr w:type="spellEnd"/>
      <w:r>
        <w:rPr>
          <w:rFonts w:ascii="Calibri" w:eastAsia="Times New Roman" w:hAnsi="Calibri" w:cs="Calibri"/>
          <w:sz w:val="22"/>
          <w:lang w:eastAsia="nb-NO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lang w:eastAsia="nb-NO"/>
        </w:rPr>
        <w:t>governments</w:t>
      </w:r>
      <w:proofErr w:type="spellEnd"/>
      <w:r>
        <w:rPr>
          <w:rFonts w:ascii="Calibri" w:eastAsia="Times New Roman" w:hAnsi="Calibri" w:cs="Calibri"/>
          <w:sz w:val="22"/>
          <w:lang w:eastAsia="nb-NO"/>
        </w:rPr>
        <w:t xml:space="preserve">, regulators and </w:t>
      </w:r>
      <w:proofErr w:type="spellStart"/>
      <w:r>
        <w:rPr>
          <w:rFonts w:ascii="Calibri" w:eastAsia="Times New Roman" w:hAnsi="Calibri" w:cs="Calibri"/>
          <w:sz w:val="22"/>
          <w:lang w:eastAsia="nb-NO"/>
        </w:rPr>
        <w:t>supervisory</w:t>
      </w:r>
      <w:proofErr w:type="spellEnd"/>
      <w:r>
        <w:rPr>
          <w:rFonts w:ascii="Calibri" w:eastAsia="Times New Roman" w:hAnsi="Calibri" w:cs="Calibri"/>
          <w:sz w:val="22"/>
          <w:lang w:eastAsia="nb-NO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lang w:eastAsia="nb-NO"/>
        </w:rPr>
        <w:t>authorities</w:t>
      </w:r>
      <w:proofErr w:type="spellEnd"/>
      <w:r>
        <w:rPr>
          <w:rFonts w:ascii="Calibri" w:eastAsia="Times New Roman" w:hAnsi="Calibri" w:cs="Calibri"/>
          <w:sz w:val="22"/>
          <w:lang w:eastAsia="nb-NO"/>
        </w:rPr>
        <w:t xml:space="preserve"> in </w:t>
      </w:r>
      <w:proofErr w:type="spellStart"/>
      <w:r>
        <w:rPr>
          <w:rFonts w:ascii="Calibri" w:eastAsia="Times New Roman" w:hAnsi="Calibri" w:cs="Calibri"/>
          <w:sz w:val="22"/>
          <w:lang w:eastAsia="nb-NO"/>
        </w:rPr>
        <w:t>the</w:t>
      </w:r>
      <w:proofErr w:type="spellEnd"/>
      <w:r>
        <w:rPr>
          <w:rFonts w:ascii="Calibri" w:eastAsia="Times New Roman" w:hAnsi="Calibri" w:cs="Calibri"/>
          <w:sz w:val="22"/>
          <w:lang w:eastAsia="nb-NO"/>
        </w:rPr>
        <w:t xml:space="preserve"> LIS, Europe and Third </w:t>
      </w:r>
      <w:proofErr w:type="spellStart"/>
      <w:r>
        <w:rPr>
          <w:rFonts w:ascii="Calibri" w:eastAsia="Times New Roman" w:hAnsi="Calibri" w:cs="Calibri"/>
          <w:sz w:val="22"/>
          <w:lang w:eastAsia="nb-NO"/>
        </w:rPr>
        <w:t>Countries</w:t>
      </w:r>
      <w:proofErr w:type="spellEnd"/>
      <w:r>
        <w:rPr>
          <w:rFonts w:ascii="Calibri" w:eastAsia="Times New Roman" w:hAnsi="Calibri" w:cs="Calibri"/>
          <w:sz w:val="22"/>
          <w:lang w:eastAsia="nb-NO"/>
        </w:rPr>
        <w:t xml:space="preserve"> to </w:t>
      </w:r>
      <w:proofErr w:type="spellStart"/>
      <w:r>
        <w:rPr>
          <w:rFonts w:ascii="Calibri" w:eastAsia="Times New Roman" w:hAnsi="Calibri" w:cs="Calibri"/>
          <w:sz w:val="22"/>
          <w:lang w:eastAsia="nb-NO"/>
        </w:rPr>
        <w:t>ensure</w:t>
      </w:r>
      <w:proofErr w:type="spellEnd"/>
      <w:r>
        <w:rPr>
          <w:rFonts w:ascii="Calibri" w:eastAsia="Times New Roman" w:hAnsi="Calibri" w:cs="Calibri"/>
          <w:sz w:val="22"/>
          <w:lang w:eastAsia="nb-NO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lang w:eastAsia="nb-NO"/>
        </w:rPr>
        <w:t>protection</w:t>
      </w:r>
      <w:proofErr w:type="spellEnd"/>
      <w:r>
        <w:rPr>
          <w:rFonts w:ascii="Calibri" w:eastAsia="Times New Roman" w:hAnsi="Calibri" w:cs="Calibri"/>
          <w:sz w:val="22"/>
          <w:lang w:eastAsia="nb-NO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lang w:eastAsia="nb-NO"/>
        </w:rPr>
        <w:t>of</w:t>
      </w:r>
      <w:proofErr w:type="spellEnd"/>
      <w:r>
        <w:rPr>
          <w:rFonts w:ascii="Calibri" w:eastAsia="Times New Roman" w:hAnsi="Calibri" w:cs="Calibri"/>
          <w:sz w:val="22"/>
          <w:lang w:eastAsia="nb-NO"/>
        </w:rPr>
        <w:t xml:space="preserve"> cross-border personal data </w:t>
      </w:r>
      <w:proofErr w:type="spellStart"/>
      <w:r>
        <w:rPr>
          <w:rFonts w:ascii="Calibri" w:eastAsia="Times New Roman" w:hAnsi="Calibri" w:cs="Calibri"/>
          <w:sz w:val="22"/>
          <w:lang w:eastAsia="nb-NO"/>
        </w:rPr>
        <w:t>flow</w:t>
      </w:r>
      <w:proofErr w:type="spellEnd"/>
      <w:r>
        <w:rPr>
          <w:rFonts w:ascii="Calibri" w:eastAsia="Times New Roman" w:hAnsi="Calibri" w:cs="Calibri"/>
          <w:sz w:val="22"/>
          <w:lang w:eastAsia="nb-NO"/>
        </w:rPr>
        <w:t xml:space="preserve"> and </w:t>
      </w:r>
      <w:proofErr w:type="spellStart"/>
      <w:r>
        <w:rPr>
          <w:rFonts w:ascii="Calibri" w:eastAsia="Times New Roman" w:hAnsi="Calibri" w:cs="Calibri"/>
          <w:sz w:val="22"/>
          <w:lang w:eastAsia="nb-NO"/>
        </w:rPr>
        <w:t>addressing</w:t>
      </w:r>
      <w:proofErr w:type="spellEnd"/>
      <w:r>
        <w:rPr>
          <w:rFonts w:ascii="Calibri" w:eastAsia="Times New Roman" w:hAnsi="Calibri" w:cs="Calibri"/>
          <w:sz w:val="22"/>
          <w:lang w:eastAsia="nb-NO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lang w:eastAsia="nb-NO"/>
        </w:rPr>
        <w:t>the</w:t>
      </w:r>
      <w:proofErr w:type="spellEnd"/>
      <w:r>
        <w:rPr>
          <w:rFonts w:ascii="Calibri" w:eastAsia="Times New Roman" w:hAnsi="Calibri" w:cs="Calibri"/>
          <w:sz w:val="22"/>
          <w:lang w:eastAsia="nb-NO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lang w:eastAsia="nb-NO"/>
        </w:rPr>
        <w:t>issues</w:t>
      </w:r>
      <w:proofErr w:type="spellEnd"/>
      <w:r>
        <w:rPr>
          <w:rFonts w:ascii="Calibri" w:eastAsia="Times New Roman" w:hAnsi="Calibri" w:cs="Calibri"/>
          <w:sz w:val="22"/>
          <w:lang w:eastAsia="nb-NO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lang w:eastAsia="nb-NO"/>
        </w:rPr>
        <w:t>raised</w:t>
      </w:r>
      <w:proofErr w:type="spellEnd"/>
      <w:r>
        <w:rPr>
          <w:rFonts w:ascii="Calibri" w:eastAsia="Times New Roman" w:hAnsi="Calibri" w:cs="Calibri"/>
          <w:sz w:val="22"/>
          <w:lang w:eastAsia="nb-NO"/>
        </w:rPr>
        <w:t xml:space="preserve"> by </w:t>
      </w:r>
      <w:proofErr w:type="spellStart"/>
      <w:r>
        <w:rPr>
          <w:rFonts w:ascii="Calibri" w:eastAsia="Times New Roman" w:hAnsi="Calibri" w:cs="Calibri"/>
          <w:sz w:val="22"/>
          <w:lang w:eastAsia="nb-NO"/>
        </w:rPr>
        <w:t>Schrems</w:t>
      </w:r>
      <w:proofErr w:type="spellEnd"/>
      <w:r>
        <w:rPr>
          <w:rFonts w:ascii="Calibri" w:eastAsia="Times New Roman" w:hAnsi="Calibri" w:cs="Calibri"/>
          <w:sz w:val="22"/>
          <w:lang w:eastAsia="nb-NO"/>
        </w:rPr>
        <w:t xml:space="preserve"> Il </w:t>
      </w:r>
      <w:proofErr w:type="spellStart"/>
      <w:r>
        <w:rPr>
          <w:rFonts w:ascii="Calibri" w:eastAsia="Times New Roman" w:hAnsi="Calibri" w:cs="Calibri"/>
          <w:sz w:val="22"/>
          <w:lang w:eastAsia="nb-NO"/>
        </w:rPr>
        <w:t>ruling</w:t>
      </w:r>
      <w:proofErr w:type="spellEnd"/>
      <w:r>
        <w:rPr>
          <w:rFonts w:ascii="Calibri" w:eastAsia="Times New Roman" w:hAnsi="Calibri" w:cs="Calibri"/>
          <w:sz w:val="22"/>
          <w:lang w:eastAsia="nb-NO"/>
        </w:rPr>
        <w:t>?</w:t>
      </w:r>
    </w:p>
    <w:p w:rsidR="00A67238" w:rsidRPr="007D51DA" w:rsidRDefault="00A67238" w:rsidP="007D51DA">
      <w:pPr>
        <w:tabs>
          <w:tab w:val="left" w:pos="3492"/>
        </w:tabs>
      </w:pPr>
    </w:p>
    <w:sectPr w:rsidR="00A67238" w:rsidRPr="007D51DA" w:rsidSect="00D44A50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219" w:right="1338" w:bottom="2245" w:left="1298" w:header="709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E3C" w:rsidRDefault="00E57E3C" w:rsidP="005D093C">
      <w:pPr>
        <w:spacing w:after="0" w:line="240" w:lineRule="auto"/>
      </w:pPr>
      <w:r>
        <w:separator/>
      </w:r>
    </w:p>
  </w:endnote>
  <w:endnote w:type="continuationSeparator" w:id="0">
    <w:p w:rsidR="00E57E3C" w:rsidRDefault="00E57E3C" w:rsidP="005D0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315" w:rsidRDefault="00CA324A" w:rsidP="00CA324A">
    <w:pPr>
      <w:pStyle w:val="Bunntekst"/>
      <w:rPr>
        <w:color w:val="auto"/>
        <w:sz w:val="22"/>
      </w:rPr>
    </w:pPr>
    <w:r>
      <w:fldChar w:fldCharType="begin"/>
    </w:r>
    <w:r>
      <w:instrText xml:space="preserve"> ref bunntekst </w:instrText>
    </w:r>
    <w:r>
      <w:fldChar w:fldCharType="separate"/>
    </w:r>
  </w:p>
  <w:tbl>
    <w:tblPr>
      <w:tblStyle w:val="Tabellrutenett"/>
      <w:tblW w:w="978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42" w:type="dxa"/>
      </w:tblCellMar>
      <w:tblLook w:val="0400" w:firstRow="0" w:lastRow="0" w:firstColumn="0" w:lastColumn="0" w:noHBand="0" w:noVBand="1"/>
    </w:tblPr>
    <w:tblGrid>
      <w:gridCol w:w="426"/>
      <w:gridCol w:w="3402"/>
      <w:gridCol w:w="3119"/>
      <w:gridCol w:w="2835"/>
    </w:tblGrid>
    <w:tr w:rsidR="007F1315" w:rsidTr="00CA324A">
      <w:trPr>
        <w:trHeight w:val="20"/>
      </w:trPr>
      <w:tc>
        <w:tcPr>
          <w:tcW w:w="426" w:type="dxa"/>
          <w:vMerge w:val="restart"/>
        </w:tcPr>
        <w:p w:rsidR="007F1315" w:rsidRDefault="007F1315" w:rsidP="00CA324A">
          <w:pPr>
            <w:pStyle w:val="Bunntekst"/>
            <w:jc w:val="right"/>
          </w:pPr>
        </w:p>
        <w:p w:rsidR="007F1315" w:rsidRDefault="007F1315" w:rsidP="00CA324A">
          <w:pPr>
            <w:spacing w:line="192" w:lineRule="auto"/>
            <w:rPr>
              <w:noProof/>
            </w:rPr>
          </w:pPr>
        </w:p>
      </w:tc>
      <w:tc>
        <w:tcPr>
          <w:tcW w:w="3402" w:type="dxa"/>
        </w:tcPr>
        <w:p w:rsidR="007F1315" w:rsidRDefault="007F1315" w:rsidP="00CA324A">
          <w:pPr>
            <w:pStyle w:val="Bunntekst"/>
            <w:rPr>
              <w:rStyle w:val="Sterk"/>
            </w:rPr>
          </w:pPr>
        </w:p>
      </w:tc>
      <w:tc>
        <w:tcPr>
          <w:tcW w:w="3119" w:type="dxa"/>
        </w:tcPr>
        <w:p w:rsidR="007F1315" w:rsidRDefault="007F1315" w:rsidP="00CA324A">
          <w:pPr>
            <w:pStyle w:val="Bunntekst"/>
          </w:pPr>
        </w:p>
      </w:tc>
      <w:tc>
        <w:tcPr>
          <w:tcW w:w="2835" w:type="dxa"/>
        </w:tcPr>
        <w:p w:rsidR="007F1315" w:rsidRDefault="007F1315" w:rsidP="00CA324A">
          <w:pPr>
            <w:pStyle w:val="Bunntekst"/>
          </w:pPr>
        </w:p>
      </w:tc>
    </w:tr>
    <w:tr w:rsidR="007F1315" w:rsidTr="00CA324A">
      <w:tc>
        <w:tcPr>
          <w:tcW w:w="0" w:type="auto"/>
          <w:vMerge/>
          <w:vAlign w:val="center"/>
          <w:hideMark/>
        </w:tcPr>
        <w:p w:rsidR="007F1315" w:rsidRDefault="007F1315" w:rsidP="00CA324A">
          <w:pPr>
            <w:spacing w:after="0" w:line="240" w:lineRule="auto"/>
            <w:rPr>
              <w:noProof/>
            </w:rPr>
          </w:pPr>
        </w:p>
      </w:tc>
      <w:tc>
        <w:tcPr>
          <w:tcW w:w="3402" w:type="dxa"/>
          <w:hideMark/>
        </w:tcPr>
        <w:p w:rsidR="007F1315" w:rsidRDefault="007F1315" w:rsidP="00CA324A">
          <w:pPr>
            <w:pStyle w:val="Bunntekst"/>
            <w:rPr>
              <w:rStyle w:val="Sterk"/>
            </w:rPr>
          </w:pPr>
          <w:r>
            <w:rPr>
              <w:rStyle w:val="Sterk"/>
            </w:rPr>
            <w:t>Oslo kommune</w:t>
          </w:r>
        </w:p>
        <w:p w:rsidR="007F1315" w:rsidRDefault="007F1315" w:rsidP="00CA324A">
          <w:pPr>
            <w:pStyle w:val="Bunntekst"/>
            <w:rPr>
              <w:rStyle w:val="Sterk"/>
            </w:rPr>
          </w:pPr>
          <w:r>
            <w:rPr>
              <w:rStyle w:val="Sterk"/>
            </w:rPr>
            <w:t>Virksomhetsnavn</w:t>
          </w:r>
        </w:p>
        <w:p w:rsidR="007F1315" w:rsidRDefault="007F1315" w:rsidP="00CA324A">
          <w:pPr>
            <w:pStyle w:val="Bunntekst"/>
            <w:rPr>
              <w:rStyle w:val="Sterk"/>
            </w:rPr>
          </w:pPr>
        </w:p>
      </w:tc>
      <w:tc>
        <w:tcPr>
          <w:tcW w:w="3119" w:type="dxa"/>
          <w:hideMark/>
        </w:tcPr>
        <w:p w:rsidR="007F1315" w:rsidRDefault="007F1315" w:rsidP="00CA324A">
          <w:pPr>
            <w:pStyle w:val="Bunntekst"/>
          </w:pPr>
          <w:r>
            <w:t>Besøksadresse:</w:t>
          </w:r>
        </w:p>
        <w:p w:rsidR="007F1315" w:rsidRDefault="007F1315" w:rsidP="00CA324A">
          <w:pPr>
            <w:pStyle w:val="Bunntekst"/>
          </w:pPr>
          <w:r>
            <w:t>Rådhuset, 0037 Oslo</w:t>
          </w:r>
        </w:p>
        <w:p w:rsidR="007F1315" w:rsidRDefault="007F1315" w:rsidP="00CA324A">
          <w:pPr>
            <w:pStyle w:val="Bunntekst"/>
          </w:pPr>
          <w:r>
            <w:t>Postadresse:</w:t>
          </w:r>
        </w:p>
        <w:p w:rsidR="007F1315" w:rsidRDefault="007F1315" w:rsidP="007D51DA">
          <w:pPr>
            <w:pStyle w:val="Bunntekst"/>
          </w:pPr>
          <w:r>
            <w:t>Rådhuset, 0037 Oslo</w:t>
          </w:r>
        </w:p>
      </w:tc>
      <w:tc>
        <w:tcPr>
          <w:tcW w:w="2835" w:type="dxa"/>
          <w:hideMark/>
        </w:tcPr>
        <w:p w:rsidR="007F1315" w:rsidRDefault="007F1315" w:rsidP="00CA324A">
          <w:pPr>
            <w:pStyle w:val="Bunntekst"/>
          </w:pPr>
          <w:r>
            <w:t>Telefon: +47 21 80 21 80</w:t>
          </w:r>
        </w:p>
        <w:p w:rsidR="007F1315" w:rsidRDefault="007F1315" w:rsidP="00CA324A">
          <w:pPr>
            <w:pStyle w:val="Bunntekst"/>
          </w:pPr>
          <w:r>
            <w:t>postmottak@byr.oslo.kommune.no</w:t>
          </w:r>
        </w:p>
        <w:p w:rsidR="007F1315" w:rsidRDefault="007F1315" w:rsidP="00CA324A">
          <w:pPr>
            <w:pStyle w:val="Bunntekst"/>
          </w:pPr>
          <w:r>
            <w:t>Org. nr.: 000000000</w:t>
          </w:r>
        </w:p>
        <w:p w:rsidR="007F1315" w:rsidRDefault="007F1315" w:rsidP="00CA324A">
          <w:pPr>
            <w:pStyle w:val="Bunntekst"/>
          </w:pPr>
          <w:r>
            <w:t>oslo.kommune.no</w:t>
          </w:r>
        </w:p>
      </w:tc>
    </w:tr>
  </w:tbl>
  <w:p w:rsidR="005D093C" w:rsidRPr="00CA324A" w:rsidRDefault="00CA324A" w:rsidP="00CA324A">
    <w:pPr>
      <w:pStyle w:val="Bunntekst"/>
    </w:pP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978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42" w:type="dxa"/>
      </w:tblCellMar>
      <w:tblLook w:val="0400" w:firstRow="0" w:lastRow="0" w:firstColumn="0" w:lastColumn="0" w:noHBand="0" w:noVBand="1"/>
    </w:tblPr>
    <w:tblGrid>
      <w:gridCol w:w="162"/>
      <w:gridCol w:w="3666"/>
      <w:gridCol w:w="3119"/>
      <w:gridCol w:w="2835"/>
    </w:tblGrid>
    <w:tr w:rsidR="00CA324A" w:rsidTr="00180F6D">
      <w:trPr>
        <w:trHeight w:val="20"/>
      </w:trPr>
      <w:tc>
        <w:tcPr>
          <w:tcW w:w="162" w:type="dxa"/>
          <w:vMerge w:val="restart"/>
        </w:tcPr>
        <w:p w:rsidR="00CA324A" w:rsidRDefault="00CA324A" w:rsidP="00CA324A">
          <w:pPr>
            <w:spacing w:line="192" w:lineRule="auto"/>
            <w:rPr>
              <w:noProof/>
            </w:rPr>
          </w:pPr>
          <w:bookmarkStart w:id="0" w:name="bunntekst"/>
        </w:p>
      </w:tc>
      <w:tc>
        <w:tcPr>
          <w:tcW w:w="3666" w:type="dxa"/>
        </w:tcPr>
        <w:p w:rsidR="00CA324A" w:rsidRDefault="00CA324A" w:rsidP="00CA324A">
          <w:pPr>
            <w:pStyle w:val="Bunntekst"/>
            <w:rPr>
              <w:rStyle w:val="Sterk"/>
            </w:rPr>
          </w:pPr>
        </w:p>
      </w:tc>
      <w:tc>
        <w:tcPr>
          <w:tcW w:w="3119" w:type="dxa"/>
        </w:tcPr>
        <w:p w:rsidR="00CA324A" w:rsidRDefault="00CA324A" w:rsidP="00CA324A">
          <w:pPr>
            <w:pStyle w:val="Bunntekst"/>
          </w:pPr>
        </w:p>
      </w:tc>
      <w:tc>
        <w:tcPr>
          <w:tcW w:w="2835" w:type="dxa"/>
        </w:tcPr>
        <w:p w:rsidR="00CA324A" w:rsidRDefault="00CA324A" w:rsidP="00CA324A">
          <w:pPr>
            <w:pStyle w:val="Bunntekst"/>
          </w:pPr>
        </w:p>
      </w:tc>
    </w:tr>
    <w:tr w:rsidR="00CA324A" w:rsidTr="00180F6D">
      <w:tc>
        <w:tcPr>
          <w:tcW w:w="162" w:type="dxa"/>
          <w:vMerge/>
          <w:vAlign w:val="center"/>
        </w:tcPr>
        <w:p w:rsidR="00CA324A" w:rsidRDefault="00CA324A" w:rsidP="00CA324A">
          <w:pPr>
            <w:spacing w:after="0" w:line="240" w:lineRule="auto"/>
            <w:rPr>
              <w:noProof/>
            </w:rPr>
          </w:pPr>
        </w:p>
      </w:tc>
      <w:tc>
        <w:tcPr>
          <w:tcW w:w="3666" w:type="dxa"/>
        </w:tcPr>
        <w:p w:rsidR="00CA324A" w:rsidRDefault="00CA324A" w:rsidP="00CA324A">
          <w:pPr>
            <w:pStyle w:val="Bunntekst"/>
            <w:rPr>
              <w:rStyle w:val="Sterk"/>
            </w:rPr>
          </w:pPr>
        </w:p>
      </w:tc>
      <w:tc>
        <w:tcPr>
          <w:tcW w:w="3119" w:type="dxa"/>
        </w:tcPr>
        <w:p w:rsidR="00CA324A" w:rsidRDefault="00CA324A" w:rsidP="007D51DA">
          <w:pPr>
            <w:pStyle w:val="Bunntekst"/>
          </w:pPr>
        </w:p>
      </w:tc>
      <w:tc>
        <w:tcPr>
          <w:tcW w:w="2835" w:type="dxa"/>
        </w:tcPr>
        <w:p w:rsidR="00CA324A" w:rsidRDefault="00CA324A" w:rsidP="00CA324A">
          <w:pPr>
            <w:pStyle w:val="Bunntekst"/>
          </w:pPr>
        </w:p>
      </w:tc>
    </w:tr>
    <w:bookmarkEnd w:id="0"/>
  </w:tbl>
  <w:p w:rsidR="00D44A50" w:rsidRPr="00CA324A" w:rsidRDefault="00D44A50" w:rsidP="00CA324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E3C" w:rsidRDefault="00E57E3C" w:rsidP="005D093C">
      <w:pPr>
        <w:spacing w:after="0" w:line="240" w:lineRule="auto"/>
      </w:pPr>
      <w:r>
        <w:separator/>
      </w:r>
    </w:p>
  </w:footnote>
  <w:footnote w:type="continuationSeparator" w:id="0">
    <w:p w:rsidR="00E57E3C" w:rsidRDefault="00E57E3C" w:rsidP="005D0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9202350"/>
      <w:docPartObj>
        <w:docPartGallery w:val="Page Numbers (Top of Page)"/>
        <w:docPartUnique/>
      </w:docPartObj>
    </w:sdtPr>
    <w:sdtEndPr/>
    <w:sdtContent>
      <w:p w:rsidR="007D51DA" w:rsidRDefault="007D51DA">
        <w:pPr>
          <w:pStyle w:val="Topp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5B95">
          <w:rPr>
            <w:noProof/>
          </w:rPr>
          <w:t>2</w:t>
        </w:r>
        <w:r>
          <w:fldChar w:fldCharType="end"/>
        </w:r>
      </w:p>
    </w:sdtContent>
  </w:sdt>
  <w:p w:rsidR="007D51DA" w:rsidRDefault="007D51D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A50" w:rsidRDefault="00A67238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04930465" wp14:editId="171C4945">
          <wp:simplePos x="0" y="0"/>
          <wp:positionH relativeFrom="page">
            <wp:posOffset>5634990</wp:posOffset>
          </wp:positionH>
          <wp:positionV relativeFrom="page">
            <wp:posOffset>612140</wp:posOffset>
          </wp:positionV>
          <wp:extent cx="1080000" cy="561600"/>
          <wp:effectExtent l="0" t="0" r="635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15E2"/>
    <w:multiLevelType w:val="multilevel"/>
    <w:tmpl w:val="83E8E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556A0"/>
    <w:multiLevelType w:val="multilevel"/>
    <w:tmpl w:val="E3246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743842"/>
    <w:multiLevelType w:val="multilevel"/>
    <w:tmpl w:val="1764C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FB05F0"/>
    <w:multiLevelType w:val="hybridMultilevel"/>
    <w:tmpl w:val="7D884A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B0765C"/>
    <w:multiLevelType w:val="multilevel"/>
    <w:tmpl w:val="E7CCF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3A632D"/>
    <w:multiLevelType w:val="multilevel"/>
    <w:tmpl w:val="1E68F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E42DF4"/>
    <w:multiLevelType w:val="multilevel"/>
    <w:tmpl w:val="6BB20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A85802"/>
    <w:multiLevelType w:val="multilevel"/>
    <w:tmpl w:val="18247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  <w:lvlOverride w:ilvl="0">
      <w:startOverride w:val="1"/>
    </w:lvlOverride>
  </w:num>
  <w:num w:numId="3">
    <w:abstractNumId w:val="2"/>
    <w:lvlOverride w:ilvl="0">
      <w:startOverride w:val="2"/>
    </w:lvlOverride>
  </w:num>
  <w:num w:numId="4">
    <w:abstractNumId w:val="4"/>
    <w:lvlOverride w:ilvl="0">
      <w:startOverride w:val="3"/>
    </w:lvlOverride>
  </w:num>
  <w:num w:numId="5">
    <w:abstractNumId w:val="1"/>
    <w:lvlOverride w:ilvl="0">
      <w:startOverride w:val="4"/>
    </w:lvlOverride>
  </w:num>
  <w:num w:numId="6">
    <w:abstractNumId w:val="7"/>
    <w:lvlOverride w:ilvl="0">
      <w:startOverride w:val="5"/>
    </w:lvlOverride>
  </w:num>
  <w:num w:numId="7">
    <w:abstractNumId w:val="0"/>
    <w:lvlOverride w:ilvl="0">
      <w:startOverride w:val="6"/>
    </w:lvlOverride>
  </w:num>
  <w:num w:numId="8">
    <w:abstractNumId w:val="5"/>
    <w:lvlOverride w:ilvl="0">
      <w:startOverride w:val="7"/>
    </w:lvlOverride>
  </w:num>
  <w:num w:numId="9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315"/>
    <w:rsid w:val="000119BE"/>
    <w:rsid w:val="00095EC1"/>
    <w:rsid w:val="00180F6D"/>
    <w:rsid w:val="00186573"/>
    <w:rsid w:val="001F112F"/>
    <w:rsid w:val="0025699D"/>
    <w:rsid w:val="00325D57"/>
    <w:rsid w:val="00327229"/>
    <w:rsid w:val="003D07B4"/>
    <w:rsid w:val="0041004E"/>
    <w:rsid w:val="00483FE0"/>
    <w:rsid w:val="004E0F1D"/>
    <w:rsid w:val="0055183B"/>
    <w:rsid w:val="00560D31"/>
    <w:rsid w:val="00567104"/>
    <w:rsid w:val="005812E4"/>
    <w:rsid w:val="00595FDC"/>
    <w:rsid w:val="005D093C"/>
    <w:rsid w:val="006E006E"/>
    <w:rsid w:val="00727D7C"/>
    <w:rsid w:val="007771AD"/>
    <w:rsid w:val="007D1113"/>
    <w:rsid w:val="007D51DA"/>
    <w:rsid w:val="007E4B0D"/>
    <w:rsid w:val="007F1315"/>
    <w:rsid w:val="008A1B46"/>
    <w:rsid w:val="008D5723"/>
    <w:rsid w:val="008F0992"/>
    <w:rsid w:val="00945E1F"/>
    <w:rsid w:val="009A23D7"/>
    <w:rsid w:val="009D5B95"/>
    <w:rsid w:val="00A0208E"/>
    <w:rsid w:val="00A63656"/>
    <w:rsid w:val="00A67238"/>
    <w:rsid w:val="00AA100D"/>
    <w:rsid w:val="00B10DAE"/>
    <w:rsid w:val="00B4250F"/>
    <w:rsid w:val="00C51925"/>
    <w:rsid w:val="00CA324A"/>
    <w:rsid w:val="00D44A50"/>
    <w:rsid w:val="00D8326C"/>
    <w:rsid w:val="00DB35DE"/>
    <w:rsid w:val="00E51F3C"/>
    <w:rsid w:val="00E57E3C"/>
    <w:rsid w:val="00ED167B"/>
    <w:rsid w:val="00F36E6D"/>
    <w:rsid w:val="00FD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9A105F"/>
  <w15:docId w15:val="{B8C7900E-00D8-4D86-881B-6727815DF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882"/>
    <w:pPr>
      <w:spacing w:after="280" w:line="264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112F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6E006E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D7882"/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table" w:styleId="Tabellrutenett">
    <w:name w:val="Table Grid"/>
    <w:basedOn w:val="Vanligtabell"/>
    <w:uiPriority w:val="39"/>
    <w:rsid w:val="00C5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rsid w:val="005D0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D7882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  <w:rPr>
      <w:color w:val="2A2859" w:themeColor="text2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D7882"/>
    <w:rPr>
      <w:color w:val="2A2859" w:themeColor="text2"/>
      <w:sz w:val="16"/>
    </w:rPr>
  </w:style>
  <w:style w:type="character" w:styleId="Sterk">
    <w:name w:val="Strong"/>
    <w:basedOn w:val="Standardskriftforavsnitt"/>
    <w:uiPriority w:val="22"/>
    <w:qFormat/>
    <w:rsid w:val="005D093C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5D093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D7882"/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paragraph" w:styleId="Ingenmellomrom">
    <w:name w:val="No Spacing"/>
    <w:uiPriority w:val="1"/>
    <w:qFormat/>
    <w:rsid w:val="000119BE"/>
    <w:pPr>
      <w:spacing w:after="0" w:line="264" w:lineRule="auto"/>
    </w:pPr>
    <w:rPr>
      <w:sz w:val="20"/>
    </w:rPr>
  </w:style>
  <w:style w:type="character" w:styleId="Plassholdertekst">
    <w:name w:val="Placeholder Text"/>
    <w:basedOn w:val="Standardskriftforavsnitt"/>
    <w:uiPriority w:val="99"/>
    <w:semiHidden/>
    <w:rsid w:val="000119BE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95EC1"/>
    <w:pPr>
      <w:numPr>
        <w:ilvl w:val="1"/>
      </w:numPr>
      <w:spacing w:after="0"/>
    </w:pPr>
    <w:rPr>
      <w:rFonts w:eastAsiaTheme="minorEastAsia"/>
      <w:b/>
      <w:color w:val="2A2859" w:themeColor="text2"/>
      <w:sz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D7882"/>
    <w:rPr>
      <w:rFonts w:eastAsiaTheme="minorEastAsia"/>
      <w:b/>
      <w:color w:val="2A2859" w:themeColor="text2"/>
    </w:rPr>
  </w:style>
  <w:style w:type="paragraph" w:customStyle="1" w:styleId="Referanserbrev">
    <w:name w:val="Referanser brev"/>
    <w:basedOn w:val="Normal"/>
    <w:qFormat/>
    <w:rsid w:val="00095EC1"/>
    <w:pPr>
      <w:spacing w:after="0" w:line="240" w:lineRule="auto"/>
    </w:pPr>
    <w:rPr>
      <w:sz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D7882"/>
    <w:rPr>
      <w:rFonts w:asciiTheme="majorHAnsi" w:eastAsiaTheme="majorEastAsia" w:hAnsiTheme="majorHAnsi" w:cstheme="majorBidi"/>
      <w:b/>
      <w:color w:val="000000" w:themeColor="text1"/>
      <w:sz w:val="20"/>
      <w:szCs w:val="26"/>
    </w:rPr>
  </w:style>
  <w:style w:type="table" w:customStyle="1" w:styleId="Creunaenkel">
    <w:name w:val="Creuna enkel"/>
    <w:basedOn w:val="Vanligtabell"/>
    <w:uiPriority w:val="99"/>
    <w:rsid w:val="006E006E"/>
    <w:pPr>
      <w:spacing w:after="0" w:line="240" w:lineRule="auto"/>
    </w:pPr>
    <w:rPr>
      <w:color w:val="030303"/>
      <w:sz w:val="20"/>
      <w:szCs w:val="2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color w:val="FFFFFF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Kopiogvedlegg">
    <w:name w:val="Kopi og vedlegg"/>
    <w:basedOn w:val="Normal"/>
    <w:semiHidden/>
    <w:rsid w:val="00FD7882"/>
    <w:pPr>
      <w:spacing w:after="0"/>
    </w:pPr>
    <w:rPr>
      <w:sz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45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45E1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F1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Default">
    <w:name w:val="Default"/>
    <w:rsid w:val="007771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6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slofelles\felles-is\byr\maler\dl-maler\BYR%20-%20Oslomaler\Notat.dotx" TargetMode="External"/></Relationships>
</file>

<file path=word/theme/theme1.xml><?xml version="1.0" encoding="utf-8"?>
<a:theme xmlns:a="http://schemas.openxmlformats.org/drawingml/2006/main" name="Office-tema">
  <a:themeElements>
    <a:clrScheme name="Oslo Kommune">
      <a:dk1>
        <a:srgbClr val="000000"/>
      </a:dk1>
      <a:lt1>
        <a:srgbClr val="FFFFFF"/>
      </a:lt1>
      <a:dk2>
        <a:srgbClr val="2A2859"/>
      </a:dk2>
      <a:lt2>
        <a:srgbClr val="F8F0DD"/>
      </a:lt2>
      <a:accent1>
        <a:srgbClr val="034B45"/>
      </a:accent1>
      <a:accent2>
        <a:srgbClr val="4EF8B6"/>
      </a:accent2>
      <a:accent3>
        <a:srgbClr val="C7F6C9"/>
      </a:accent3>
      <a:accent4>
        <a:srgbClr val="6FE9FF"/>
      </a:accent4>
      <a:accent5>
        <a:srgbClr val="FF8274"/>
      </a:accent5>
      <a:accent6>
        <a:srgbClr val="F9C66B"/>
      </a:accent6>
      <a:hlink>
        <a:srgbClr val="000000"/>
      </a:hlink>
      <a:folHlink>
        <a:srgbClr val="000000"/>
      </a:folHlink>
    </a:clrScheme>
    <a:fontScheme name="Oslo Sans Office">
      <a:majorFont>
        <a:latin typeface="Oslo Sans Office"/>
        <a:ea typeface=""/>
        <a:cs typeface=""/>
      </a:majorFont>
      <a:minorFont>
        <a:latin typeface="Oslo Sans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root>
</root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69E82D93866B4497346CB086FA131C" ma:contentTypeVersion="8" ma:contentTypeDescription="Create a new document." ma:contentTypeScope="" ma:versionID="808a19d2ae683d871e996f3d32a35f19">
  <xsd:schema xmlns:xsd="http://www.w3.org/2001/XMLSchema" xmlns:xs="http://www.w3.org/2001/XMLSchema" xmlns:p="http://schemas.microsoft.com/office/2006/metadata/properties" xmlns:ns3="923851af-529b-4b5e-90da-7f9f5f7d9095" targetNamespace="http://schemas.microsoft.com/office/2006/metadata/properties" ma:root="true" ma:fieldsID="87c0d4bbe83c525db52ff41d5938844f" ns3:_="">
    <xsd:import namespace="923851af-529b-4b5e-90da-7f9f5f7d90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851af-529b-4b5e-90da-7f9f5f7d9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2AC1A3-F3AD-4EAF-9E2E-E2FB94C30E62}">
  <ds:schemaRefs/>
</ds:datastoreItem>
</file>

<file path=customXml/itemProps2.xml><?xml version="1.0" encoding="utf-8"?>
<ds:datastoreItem xmlns:ds="http://schemas.openxmlformats.org/officeDocument/2006/customXml" ds:itemID="{77870AB9-FABF-4FC3-A501-BE20F8DB71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3851af-529b-4b5e-90da-7f9f5f7d9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23253F-2DFB-4968-8981-811015E588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B34C00-6B78-4227-A0AA-73B2A7D762C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</Template>
  <TotalTime>26</TotalTime>
  <Pages>1</Pages>
  <Words>372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</dc:creator>
  <cp:lastModifiedBy>Linda Mari Knutsen</cp:lastModifiedBy>
  <cp:revision>7</cp:revision>
  <dcterms:created xsi:type="dcterms:W3CDTF">2021-11-23T08:26:00Z</dcterms:created>
  <dcterms:modified xsi:type="dcterms:W3CDTF">2021-11-23T08:59:00Z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  <property fmtid="{D5CDD505-2E9C-101B-9397-08002B2CF9AE}" pid="3" name="ContentTypeId">
    <vt:lpwstr>0x010100DD69E82D93866B4497346CB086FA131C</vt:lpwstr>
  </property>
</Properties>
</file>