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E3DF0" w:rsidRDefault="00EE3DF0" w:rsidP="00EE3DF0">
      <w:pPr>
        <w:pStyle w:val="Ingenmellomrom"/>
      </w:pPr>
      <w:bookmarkStart w:id="0" w:name="_GoBack"/>
      <w:bookmarkEnd w:id="0"/>
    </w:p>
    <w:p w14:paraId="75DF60AA" w14:textId="77777777" w:rsidR="00EE3DF0" w:rsidRDefault="00EE3DF0" w:rsidP="00EE3DF0">
      <w:pPr>
        <w:pStyle w:val="Overskrift4"/>
      </w:pPr>
      <w:r>
        <w:t>Dokumentasjon av balansen</w:t>
      </w:r>
    </w:p>
    <w:p w14:paraId="716F1F0B" w14:textId="77777777" w:rsidR="00EE3DF0" w:rsidRDefault="00EE3DF0" w:rsidP="00EE3DF0">
      <w:pPr>
        <w:pStyle w:val="Ingenmellomrom"/>
      </w:pPr>
      <w:r>
        <w:t>Kravet til dokumentasjon av balansen i bokføringsloven har som formål å få bekreftet at eiendeler, egenkapital og gjeld er fullstendig presentert, eksisterer og at de tilhører kommunen. Kommunens avstemming av alle balansekonti i regnskapet bekrefter nøyaktighet og at verdiene er reelle. Alle konti i balansen skal være avstemt. Virksomheten skal redegjøre for uavklarte poster.</w:t>
      </w:r>
    </w:p>
    <w:p w14:paraId="0A37501D" w14:textId="77777777" w:rsidR="00EE3DF0" w:rsidRDefault="00EE3DF0" w:rsidP="00EE3DF0">
      <w:pPr>
        <w:pStyle w:val="Ingenmellomrom"/>
      </w:pPr>
    </w:p>
    <w:p w14:paraId="6EA42A43" w14:textId="77777777" w:rsidR="00EE3DF0" w:rsidRDefault="00EE3DF0" w:rsidP="00EE3DF0">
      <w:pPr>
        <w:pStyle w:val="Ingenmellomrom"/>
      </w:pPr>
      <w:r w:rsidRPr="005965BC">
        <w:t xml:space="preserve">Det er </w:t>
      </w:r>
      <w:r w:rsidRPr="005965BC">
        <w:rPr>
          <w:b/>
        </w:rPr>
        <w:t>ikke</w:t>
      </w:r>
      <w:r w:rsidRPr="005965BC">
        <w:t xml:space="preserve"> nødvendig at alle konti i balansen spesifiseres her, men noten skal inneholde kommentarer til avstemming av balansekonti, herunder bankkonti. Virksomheten skal opplyse </w:t>
      </w:r>
      <w:r>
        <w:t>om de er ajour med avstemmingene, og i tillegg kommentere om det er knyttet usikkerhet til poster i balanseregnskapet som kan medføre vesentlige regnskapsmessige konsekvenser for virksomheten. Det vises i denne sammenheng til byrådets rundskriv nr. 23/2002 «Internkontroll i økonomiforvaltningen i Oslo kommune».</w:t>
      </w:r>
    </w:p>
    <w:p w14:paraId="5DAB6C7B" w14:textId="77777777" w:rsidR="00EE3DF0" w:rsidRDefault="00EE3DF0" w:rsidP="00EE3DF0">
      <w:pPr>
        <w:pStyle w:val="Ingenmellomrom"/>
      </w:pPr>
    </w:p>
    <w:p w14:paraId="4DB50614" w14:textId="77777777" w:rsidR="00EE3DF0" w:rsidRDefault="00EE3DF0" w:rsidP="00EE3DF0">
      <w:pPr>
        <w:pStyle w:val="Ingenmellomrom"/>
      </w:pPr>
      <w:r>
        <w:t>Virksomheten skal som minimum oppgi følgende:</w:t>
      </w:r>
    </w:p>
    <w:p w14:paraId="02EB378F" w14:textId="77777777" w:rsidR="00EE3DF0" w:rsidRDefault="00EE3DF0" w:rsidP="00EE3DF0">
      <w:pPr>
        <w:pStyle w:val="Ingenmellomrom"/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1701"/>
        <w:gridCol w:w="1257"/>
        <w:gridCol w:w="2780"/>
      </w:tblGrid>
      <w:tr w:rsidR="00EE3DF0" w:rsidRPr="00AC46BC" w14:paraId="5DA12378" w14:textId="77777777" w:rsidTr="00C20CAE">
        <w:trPr>
          <w:trHeight w:val="528"/>
          <w:tblHeader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DEE2AEF" w14:textId="77777777" w:rsidR="00EE3DF0" w:rsidRPr="00AC46BC" w:rsidRDefault="00EE3DF0" w:rsidP="00C20CAE">
            <w:pPr>
              <w:rPr>
                <w:b/>
                <w:bCs/>
                <w:color w:val="000000"/>
                <w:sz w:val="18"/>
              </w:rPr>
            </w:pPr>
            <w:r w:rsidRPr="00AC46BC">
              <w:rPr>
                <w:b/>
                <w:bCs/>
                <w:color w:val="000000"/>
                <w:sz w:val="18"/>
              </w:rPr>
              <w:t>Handling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1366E8" w14:textId="77777777" w:rsidR="00EE3DF0" w:rsidRPr="00AC46BC" w:rsidRDefault="00EE3DF0" w:rsidP="00C20CAE">
            <w:pPr>
              <w:rPr>
                <w:b/>
                <w:bCs/>
                <w:color w:val="000000"/>
                <w:sz w:val="18"/>
              </w:rPr>
            </w:pPr>
            <w:r w:rsidRPr="00AC46BC">
              <w:rPr>
                <w:b/>
                <w:bCs/>
                <w:color w:val="000000"/>
                <w:sz w:val="18"/>
              </w:rPr>
              <w:t>Hovedreferanse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624679" w14:textId="77777777" w:rsidR="00EE3DF0" w:rsidRPr="00AC46BC" w:rsidRDefault="00EE3DF0" w:rsidP="00C20CAE">
            <w:pPr>
              <w:rPr>
                <w:b/>
                <w:bCs/>
                <w:color w:val="000000"/>
                <w:sz w:val="18"/>
              </w:rPr>
            </w:pPr>
            <w:r w:rsidRPr="00AC46BC">
              <w:rPr>
                <w:b/>
                <w:bCs/>
                <w:color w:val="000000"/>
                <w:sz w:val="18"/>
              </w:rPr>
              <w:t xml:space="preserve">Ja, Nei, </w:t>
            </w:r>
            <w:r w:rsidRPr="00AC46BC">
              <w:rPr>
                <w:b/>
                <w:bCs/>
                <w:color w:val="000000"/>
                <w:sz w:val="18"/>
              </w:rPr>
              <w:br/>
              <w:t>Ikke aktuell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881112" w14:textId="77777777" w:rsidR="00EE3DF0" w:rsidRPr="00AC46BC" w:rsidRDefault="00EE3DF0" w:rsidP="00C20CAE">
            <w:pPr>
              <w:rPr>
                <w:b/>
                <w:bCs/>
                <w:color w:val="000000"/>
                <w:sz w:val="18"/>
              </w:rPr>
            </w:pPr>
            <w:r w:rsidRPr="00AC46BC">
              <w:rPr>
                <w:b/>
                <w:bCs/>
                <w:color w:val="000000"/>
                <w:sz w:val="18"/>
              </w:rPr>
              <w:t>Evt. merknader</w:t>
            </w:r>
          </w:p>
        </w:tc>
      </w:tr>
      <w:tr w:rsidR="00EE3DF0" w:rsidRPr="00AC46BC" w14:paraId="610A7099" w14:textId="77777777" w:rsidTr="00C20CAE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517BA" w14:textId="77777777" w:rsidR="00EE3DF0" w:rsidRPr="00AC46BC" w:rsidRDefault="00EE3DF0" w:rsidP="00C20CAE">
            <w:pPr>
              <w:rPr>
                <w:b/>
                <w:bCs/>
                <w:i/>
                <w:iCs/>
                <w:color w:val="000000"/>
                <w:sz w:val="18"/>
              </w:rPr>
            </w:pPr>
            <w:r w:rsidRPr="00AC46BC">
              <w:rPr>
                <w:b/>
                <w:bCs/>
                <w:i/>
                <w:iCs/>
                <w:color w:val="000000"/>
                <w:sz w:val="18"/>
              </w:rPr>
              <w:t>Dokumentasjon av balansen</w:t>
            </w:r>
          </w:p>
        </w:tc>
      </w:tr>
      <w:tr w:rsidR="00EE3DF0" w:rsidRPr="00AC46BC" w14:paraId="3FB58912" w14:textId="77777777" w:rsidTr="00C20CAE">
        <w:trPr>
          <w:trHeight w:val="85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B4E3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Foreligger det dokumentasjon av alle balanseposter med mindre de er ubetydelige?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69AB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BL § 11, 1. ledd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A809" w14:textId="77777777" w:rsidR="00EE3DF0" w:rsidRPr="00AC46BC" w:rsidRDefault="00EE3DF0" w:rsidP="00C20CA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BBE3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</w:p>
        </w:tc>
      </w:tr>
      <w:tr w:rsidR="00EE3DF0" w:rsidRPr="00AC46BC" w14:paraId="26176858" w14:textId="77777777" w:rsidTr="00C20CAE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6C35" w14:textId="77777777" w:rsidR="00EE3DF0" w:rsidRPr="00AC46BC" w:rsidRDefault="00EE3DF0" w:rsidP="00C20CAE">
            <w:pPr>
              <w:rPr>
                <w:b/>
                <w:bCs/>
                <w:i/>
                <w:iCs/>
                <w:color w:val="000000"/>
                <w:sz w:val="18"/>
              </w:rPr>
            </w:pPr>
            <w:r w:rsidRPr="00AC46BC">
              <w:rPr>
                <w:b/>
                <w:bCs/>
                <w:i/>
                <w:iCs/>
                <w:color w:val="000000"/>
                <w:sz w:val="18"/>
              </w:rPr>
              <w:t>Dokumentasjon av bankinnskudd, lånegjeld, kontanter og lignende</w:t>
            </w:r>
          </w:p>
        </w:tc>
      </w:tr>
      <w:tr w:rsidR="00EE3DF0" w:rsidRPr="00AC46BC" w14:paraId="1BB7ACEC" w14:textId="77777777" w:rsidTr="00C20CAE">
        <w:trPr>
          <w:trHeight w:val="1077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B56CF2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Inneholder dokumentasjonen av bankinnskudd og lånegjeld oppgaver fra finansinstitusjoner over mellomværende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C2450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BF § 6-2, 1. ledd</w:t>
            </w:r>
            <w:r w:rsidRPr="00AC46BC">
              <w:rPr>
                <w:color w:val="000000"/>
                <w:sz w:val="18"/>
              </w:rPr>
              <w:br/>
              <w:t>BF § 6-2, 2. ledd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BEAA2" w14:textId="77777777" w:rsidR="00EE3DF0" w:rsidRPr="00AC46BC" w:rsidRDefault="00EE3DF0" w:rsidP="00C20CAE">
            <w:pPr>
              <w:jc w:val="center"/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C8F396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</w:p>
        </w:tc>
      </w:tr>
      <w:tr w:rsidR="00EE3DF0" w:rsidRPr="00AC46BC" w14:paraId="261B19F0" w14:textId="77777777" w:rsidTr="00C20CAE">
        <w:trPr>
          <w:trHeight w:val="624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E2AEE5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Er kontantbeholdning opptelt ved årets slutt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4A9CD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3D3EC" w14:textId="77777777" w:rsidR="00EE3DF0" w:rsidRPr="00AC46BC" w:rsidRDefault="00EE3DF0" w:rsidP="00C20CA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B940D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</w:p>
        </w:tc>
      </w:tr>
      <w:tr w:rsidR="00EE3DF0" w:rsidRPr="00AC46BC" w14:paraId="488C3ABD" w14:textId="77777777" w:rsidTr="00C20CAE">
        <w:trPr>
          <w:trHeight w:val="85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8C41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Er opptelling dokumentert med hvem som har foretatt opptellingen og på hvilket tidspunkt?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84BE" w14:textId="77777777" w:rsidR="00EE3DF0" w:rsidRPr="00AC46BC" w:rsidRDefault="00EE3DF0" w:rsidP="00C20CAE">
            <w:pPr>
              <w:rPr>
                <w:rFonts w:ascii="Calibri" w:hAnsi="Calibri" w:cs="Calibri"/>
                <w:color w:val="000000"/>
                <w:sz w:val="18"/>
              </w:rPr>
            </w:pPr>
            <w:r w:rsidRPr="00AC46B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B00A" w14:textId="77777777" w:rsidR="00EE3DF0" w:rsidRPr="00AC46BC" w:rsidRDefault="00EE3DF0" w:rsidP="00C20CA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38FC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 </w:t>
            </w:r>
          </w:p>
        </w:tc>
      </w:tr>
      <w:tr w:rsidR="00EE3DF0" w:rsidRPr="00AC46BC" w14:paraId="298B49D8" w14:textId="77777777" w:rsidTr="00C20CAE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03EE" w14:textId="77777777" w:rsidR="00EE3DF0" w:rsidRPr="00AC46BC" w:rsidRDefault="00EE3DF0" w:rsidP="00C20CAE">
            <w:pPr>
              <w:rPr>
                <w:b/>
                <w:bCs/>
                <w:i/>
                <w:iCs/>
                <w:color w:val="000000"/>
                <w:sz w:val="18"/>
              </w:rPr>
            </w:pPr>
            <w:r w:rsidRPr="00AC46BC">
              <w:rPr>
                <w:b/>
                <w:bCs/>
                <w:i/>
                <w:iCs/>
                <w:color w:val="000000"/>
                <w:sz w:val="18"/>
              </w:rPr>
              <w:t>Dokumentasjon av avsetninger, nedskrivninger mv.</w:t>
            </w:r>
          </w:p>
        </w:tc>
      </w:tr>
      <w:tr w:rsidR="00EE3DF0" w:rsidRPr="00AC46BC" w14:paraId="2DB51178" w14:textId="77777777" w:rsidTr="00C20CAE">
        <w:trPr>
          <w:trHeight w:val="68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ECF1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Omfatter dokumentasjon av poster som er verdsatt etter vurdering minst opplysninger om beregningsmetode og de forutsetninger som beregningen bygger på?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5A93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BF § 6-4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1E4C" w14:textId="77777777" w:rsidR="00EE3DF0" w:rsidRPr="00AC46BC" w:rsidRDefault="00EE3DF0" w:rsidP="00C20CA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318D" w14:textId="77777777" w:rsidR="00EE3DF0" w:rsidRPr="00AC46BC" w:rsidRDefault="00EE3DF0" w:rsidP="00C20CAE">
            <w:pPr>
              <w:rPr>
                <w:color w:val="000000"/>
                <w:sz w:val="18"/>
              </w:rPr>
            </w:pPr>
            <w:r w:rsidRPr="00AC46BC">
              <w:rPr>
                <w:color w:val="000000"/>
                <w:sz w:val="18"/>
              </w:rPr>
              <w:t> </w:t>
            </w:r>
          </w:p>
        </w:tc>
      </w:tr>
    </w:tbl>
    <w:p w14:paraId="44EAFD9C" w14:textId="77777777" w:rsidR="00EE3DF0" w:rsidRDefault="00EE3DF0" w:rsidP="00EE3DF0">
      <w:pPr>
        <w:pStyle w:val="Ingenmellomrom"/>
      </w:pPr>
    </w:p>
    <w:p w14:paraId="4B94D5A5" w14:textId="77777777" w:rsidR="00EE3DF0" w:rsidRPr="00FD265E" w:rsidRDefault="00EE3DF0" w:rsidP="00EE3DF0">
      <w:pPr>
        <w:pStyle w:val="Ingenmellomrom"/>
        <w:rPr>
          <w:rFonts w:cs="Times New Roman"/>
          <w:szCs w:val="24"/>
        </w:rPr>
      </w:pPr>
    </w:p>
    <w:p w14:paraId="333E59AD" w14:textId="77777777" w:rsidR="00EE3DF0" w:rsidRPr="005841DC" w:rsidRDefault="00EE3DF0" w:rsidP="00EE3DF0">
      <w:pPr>
        <w:pStyle w:val="Overskrift4"/>
        <w:rPr>
          <w:strike/>
        </w:rPr>
      </w:pPr>
      <w:r w:rsidRPr="005841DC">
        <w:t>Behandling av merverdiavgift og merverdiavgiftskompensasjon</w:t>
      </w:r>
    </w:p>
    <w:p w14:paraId="54E26FF0" w14:textId="77777777" w:rsidR="00EE3DF0" w:rsidRPr="002D1B1D" w:rsidRDefault="00EE3DF0" w:rsidP="00EE3DF0">
      <w:r w:rsidRPr="002D1B1D">
        <w:t>Virksomhet</w:t>
      </w:r>
      <w:r>
        <w:t>en skal ved å fylle ut de to tabellene nedenfor</w:t>
      </w:r>
      <w:r w:rsidRPr="002D1B1D">
        <w:t xml:space="preserve"> med </w:t>
      </w:r>
      <w:r w:rsidRPr="006D2240">
        <w:rPr>
          <w:b/>
        </w:rPr>
        <w:t>ja, nei eller delvis</w:t>
      </w:r>
      <w:r w:rsidRPr="002D1B1D">
        <w:t xml:space="preserve"> bekrefte om kravene er oppfylt eller ikke.</w:t>
      </w: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9"/>
        <w:gridCol w:w="445"/>
        <w:gridCol w:w="2551"/>
        <w:gridCol w:w="732"/>
        <w:gridCol w:w="2832"/>
      </w:tblGrid>
      <w:tr w:rsidR="00EE3DF0" w:rsidRPr="00AC46BC" w14:paraId="58040308" w14:textId="77777777" w:rsidTr="00C20CAE">
        <w:trPr>
          <w:trHeight w:val="540"/>
          <w:tblHeader/>
        </w:trPr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0580" w14:textId="77777777" w:rsidR="00EE3DF0" w:rsidRPr="00AC46BC" w:rsidRDefault="00EE3DF0" w:rsidP="00C20CAE">
            <w:pPr>
              <w:rPr>
                <w:b/>
                <w:bCs/>
                <w:sz w:val="18"/>
              </w:rPr>
            </w:pPr>
            <w:r w:rsidRPr="00AC46BC">
              <w:rPr>
                <w:b/>
                <w:bCs/>
                <w:sz w:val="18"/>
              </w:rPr>
              <w:lastRenderedPageBreak/>
              <w:t>Kontroll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7168" w14:textId="77777777" w:rsidR="00EE3DF0" w:rsidRPr="00AC46BC" w:rsidRDefault="00EE3DF0" w:rsidP="00C20CAE">
            <w:pPr>
              <w:jc w:val="center"/>
              <w:rPr>
                <w:b/>
                <w:bCs/>
                <w:sz w:val="18"/>
              </w:rPr>
            </w:pPr>
            <w:r w:rsidRPr="00AC46BC">
              <w:rPr>
                <w:b/>
                <w:bCs/>
                <w:sz w:val="18"/>
              </w:rPr>
              <w:t xml:space="preserve">Ja, </w:t>
            </w:r>
            <w:r w:rsidRPr="00AC46BC">
              <w:rPr>
                <w:b/>
                <w:bCs/>
                <w:sz w:val="18"/>
              </w:rPr>
              <w:br/>
              <w:t>Nei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053D" w14:textId="77777777" w:rsidR="00EE3DF0" w:rsidRPr="00AC46BC" w:rsidRDefault="00EE3DF0" w:rsidP="00C20CAE">
            <w:pPr>
              <w:rPr>
                <w:b/>
                <w:bCs/>
                <w:sz w:val="18"/>
              </w:rPr>
            </w:pPr>
            <w:r w:rsidRPr="00AC46BC">
              <w:rPr>
                <w:b/>
                <w:bCs/>
                <w:sz w:val="18"/>
              </w:rPr>
              <w:t>Hvis Ja: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80F2" w14:textId="77777777" w:rsidR="00EE3DF0" w:rsidRPr="00AC46BC" w:rsidRDefault="00EE3DF0" w:rsidP="00C20CAE">
            <w:pPr>
              <w:jc w:val="center"/>
              <w:rPr>
                <w:b/>
                <w:bCs/>
                <w:sz w:val="18"/>
              </w:rPr>
            </w:pPr>
            <w:r w:rsidRPr="00AC46BC">
              <w:rPr>
                <w:b/>
                <w:bCs/>
                <w:sz w:val="18"/>
              </w:rPr>
              <w:t>Ja, nei, delvis</w:t>
            </w:r>
          </w:p>
        </w:tc>
        <w:tc>
          <w:tcPr>
            <w:tcW w:w="1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4406" w14:textId="77777777" w:rsidR="00EE3DF0" w:rsidRPr="00AC46BC" w:rsidRDefault="00EE3DF0" w:rsidP="00C20CAE">
            <w:pPr>
              <w:rPr>
                <w:bCs/>
                <w:sz w:val="18"/>
              </w:rPr>
            </w:pPr>
            <w:r w:rsidRPr="00AC46BC">
              <w:rPr>
                <w:b/>
                <w:bCs/>
                <w:sz w:val="18"/>
              </w:rPr>
              <w:t>Kommentar</w:t>
            </w:r>
          </w:p>
        </w:tc>
      </w:tr>
      <w:tr w:rsidR="00EE3DF0" w:rsidRPr="00AC46BC" w14:paraId="4E21CDD3" w14:textId="77777777" w:rsidTr="00C20CAE">
        <w:trPr>
          <w:trHeight w:val="540"/>
        </w:trPr>
        <w:tc>
          <w:tcPr>
            <w:tcW w:w="1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1EBE2E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Krever virksomheten kompensasjon av merverdiavgift?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EC669" w14:textId="77777777" w:rsidR="00EE3DF0" w:rsidRPr="00AC46BC" w:rsidRDefault="00EE3DF0" w:rsidP="00C20CAE">
            <w:pPr>
              <w:rPr>
                <w:sz w:val="1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4B4828" w14:textId="77777777" w:rsidR="00EE3DF0" w:rsidRPr="00AC46BC" w:rsidRDefault="00EE3DF0" w:rsidP="00C20CAE">
            <w:pPr>
              <w:rPr>
                <w:sz w:val="18"/>
              </w:rPr>
            </w:pPr>
            <w:r>
              <w:rPr>
                <w:sz w:val="18"/>
              </w:rPr>
              <w:t>Ytterligere informasjon er ikke nødvendig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C2CDA8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Ikke aktuell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AE5A60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Ikke aktuell</w:t>
            </w:r>
          </w:p>
        </w:tc>
      </w:tr>
      <w:tr w:rsidR="00EE3DF0" w:rsidRPr="00AC46BC" w14:paraId="5C296394" w14:textId="77777777" w:rsidTr="00C20CAE">
        <w:trPr>
          <w:trHeight w:val="540"/>
        </w:trPr>
        <w:tc>
          <w:tcPr>
            <w:tcW w:w="1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98728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Krever virksomheten fradrag for merverdiavgift?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6B9AB" w14:textId="77777777" w:rsidR="00EE3DF0" w:rsidRPr="00AC46BC" w:rsidRDefault="00EE3DF0" w:rsidP="00C20CAE">
            <w:pPr>
              <w:rPr>
                <w:sz w:val="1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9B8AB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Er virksomheten særskilt eller frivillig registrert?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B0818" w14:textId="77777777" w:rsidR="00EE3DF0" w:rsidRPr="00AC46BC" w:rsidRDefault="00EE3DF0" w:rsidP="00C20CAE">
            <w:pPr>
              <w:rPr>
                <w:sz w:val="18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FC743" w14:textId="77777777" w:rsidR="00EE3DF0" w:rsidRPr="00AC46BC" w:rsidRDefault="00EE3DF0" w:rsidP="00C20CAE">
            <w:pPr>
              <w:rPr>
                <w:i/>
                <w:sz w:val="18"/>
                <w:szCs w:val="18"/>
              </w:rPr>
            </w:pPr>
            <w:r w:rsidRPr="00AC46BC">
              <w:rPr>
                <w:i/>
                <w:sz w:val="18"/>
                <w:szCs w:val="18"/>
              </w:rPr>
              <w:t>Hvis ja/delvis, beskriv type registrering:</w:t>
            </w:r>
          </w:p>
          <w:p w14:paraId="049F31CB" w14:textId="77777777" w:rsidR="00EE3DF0" w:rsidRPr="00AC46BC" w:rsidRDefault="00EE3DF0" w:rsidP="00C20CAE">
            <w:pPr>
              <w:rPr>
                <w:sz w:val="18"/>
                <w:szCs w:val="20"/>
              </w:rPr>
            </w:pPr>
          </w:p>
        </w:tc>
      </w:tr>
      <w:tr w:rsidR="00EE3DF0" w:rsidRPr="00AC46BC" w14:paraId="02EB6A28" w14:textId="77777777" w:rsidTr="00C20CAE">
        <w:trPr>
          <w:trHeight w:val="804"/>
        </w:trPr>
        <w:tc>
          <w:tcPr>
            <w:tcW w:w="1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D815F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Krever virksomheten forholdsmessig kompensasjon/fradrag for merverdiavgift?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12BE8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2822A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Foreligger det en ajourført dokumentasjon og oversikt over fordelingsnøklene som benyttes og begrunnelsen for disse, som enkelt kan fremlegges på forespørsel?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0637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 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D0F3F" w14:textId="77777777" w:rsidR="00EE3DF0" w:rsidRPr="00AC46BC" w:rsidRDefault="00EE3DF0" w:rsidP="00C20CAE">
            <w:pPr>
              <w:rPr>
                <w:i/>
                <w:sz w:val="18"/>
                <w:szCs w:val="18"/>
              </w:rPr>
            </w:pPr>
            <w:r w:rsidRPr="00AC46BC">
              <w:rPr>
                <w:i/>
                <w:sz w:val="18"/>
                <w:szCs w:val="18"/>
              </w:rPr>
              <w:t> Hvis nei/delvis, kommenter:</w:t>
            </w:r>
          </w:p>
          <w:p w14:paraId="53128261" w14:textId="77777777" w:rsidR="00EE3DF0" w:rsidRPr="00AC46BC" w:rsidRDefault="00EE3DF0" w:rsidP="00C20CAE">
            <w:pPr>
              <w:rPr>
                <w:sz w:val="18"/>
                <w:szCs w:val="20"/>
              </w:rPr>
            </w:pPr>
          </w:p>
        </w:tc>
      </w:tr>
      <w:tr w:rsidR="00EE3DF0" w:rsidRPr="00AC46BC" w14:paraId="19D79306" w14:textId="77777777" w:rsidTr="00C20CAE">
        <w:trPr>
          <w:trHeight w:val="540"/>
        </w:trPr>
        <w:tc>
          <w:tcPr>
            <w:tcW w:w="1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4C3BD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Forekommer det utleie av eiendommer og arealer?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24170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485C5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Foreligger det en oversikt over utleiearealene og MVA-behandlingen for disse?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84D5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 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F56C0" w14:textId="77777777" w:rsidR="00EE3DF0" w:rsidRPr="00AC46BC" w:rsidRDefault="00EE3DF0" w:rsidP="00C20CAE">
            <w:pPr>
              <w:rPr>
                <w:i/>
                <w:sz w:val="18"/>
                <w:szCs w:val="18"/>
              </w:rPr>
            </w:pPr>
            <w:r w:rsidRPr="00AC46BC">
              <w:rPr>
                <w:i/>
                <w:sz w:val="18"/>
                <w:szCs w:val="18"/>
              </w:rPr>
              <w:t> </w:t>
            </w:r>
          </w:p>
        </w:tc>
      </w:tr>
      <w:tr w:rsidR="00EE3DF0" w:rsidRPr="00AC46BC" w14:paraId="15C45E9E" w14:textId="77777777" w:rsidTr="00C20CAE">
        <w:trPr>
          <w:trHeight w:val="1068"/>
        </w:trPr>
        <w:tc>
          <w:tcPr>
            <w:tcW w:w="1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81C3E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Har virksomheten kartlagt om den har økonomisk aktivitet som kan være i konkurranse med andre som ikke er kompensasjonsberettiget?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CC1FA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E8800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Er det gjennom kartleggingen vurdert at virksomheten kan ha slik økonomisk aktivitet?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996B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 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0EA06" w14:textId="77777777" w:rsidR="00EE3DF0" w:rsidRPr="00AC46BC" w:rsidRDefault="00EE3DF0" w:rsidP="00C20CAE">
            <w:pPr>
              <w:rPr>
                <w:sz w:val="18"/>
                <w:szCs w:val="18"/>
              </w:rPr>
            </w:pPr>
            <w:r w:rsidRPr="00AC46BC">
              <w:rPr>
                <w:i/>
                <w:sz w:val="18"/>
                <w:szCs w:val="18"/>
              </w:rPr>
              <w:t> Hvis ja/delvis, foreligger det en oversikt over denne økonomiske aktiviteten og de vurderinger som er gjort?</w:t>
            </w:r>
          </w:p>
          <w:p w14:paraId="62486C05" w14:textId="77777777" w:rsidR="00EE3DF0" w:rsidRPr="00AC46BC" w:rsidRDefault="00EE3DF0" w:rsidP="00C20CAE">
            <w:pPr>
              <w:rPr>
                <w:sz w:val="18"/>
                <w:szCs w:val="20"/>
              </w:rPr>
            </w:pPr>
          </w:p>
        </w:tc>
      </w:tr>
      <w:tr w:rsidR="00EE3DF0" w:rsidRPr="00AC46BC" w14:paraId="08C3DB9C" w14:textId="77777777" w:rsidTr="00C20CAE">
        <w:trPr>
          <w:trHeight w:val="624"/>
        </w:trPr>
        <w:tc>
          <w:tcPr>
            <w:tcW w:w="1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06D17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Er det inngått avtale med utbygger om justeringsrett eller justeringsplikt?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886A4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1F6EB8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Bruk kommentarfeltet for å angi:</w:t>
            </w:r>
            <w:r w:rsidRPr="00AC46BC">
              <w:rPr>
                <w:sz w:val="18"/>
              </w:rPr>
              <w:br/>
              <w:t>- årstall for avtaleinngåelse</w:t>
            </w:r>
            <w:r w:rsidRPr="00AC46BC">
              <w:rPr>
                <w:sz w:val="18"/>
              </w:rPr>
              <w:br/>
              <w:t>- henvisning til evt. byråds-/bystyresak</w:t>
            </w:r>
            <w:r w:rsidRPr="00AC46BC">
              <w:rPr>
                <w:sz w:val="18"/>
              </w:rPr>
              <w:br/>
              <w:t>- om avtalen er inngått direkte med utbygger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E23A5" w14:textId="77777777" w:rsidR="00EE3DF0" w:rsidRPr="00AC46BC" w:rsidRDefault="00EE3DF0" w:rsidP="00C20CAE">
            <w:pPr>
              <w:rPr>
                <w:sz w:val="18"/>
              </w:rPr>
            </w:pPr>
            <w:r w:rsidRPr="00AC46BC">
              <w:rPr>
                <w:sz w:val="18"/>
              </w:rPr>
              <w:t>ikke aktuell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EB114" w14:textId="77777777" w:rsidR="00EE3DF0" w:rsidRPr="00AC46BC" w:rsidRDefault="00EE3DF0" w:rsidP="00C20CAE">
            <w:pPr>
              <w:rPr>
                <w:sz w:val="18"/>
                <w:szCs w:val="20"/>
              </w:rPr>
            </w:pPr>
            <w:r w:rsidRPr="00AC46BC">
              <w:rPr>
                <w:i/>
                <w:sz w:val="18"/>
                <w:szCs w:val="18"/>
              </w:rPr>
              <w:t> </w:t>
            </w:r>
          </w:p>
        </w:tc>
      </w:tr>
    </w:tbl>
    <w:p w14:paraId="4101652C" w14:textId="77777777" w:rsidR="00EE3DF0" w:rsidRPr="007D22D2" w:rsidRDefault="00EE3DF0" w:rsidP="00EE3DF0"/>
    <w:p w14:paraId="2E71EBB1" w14:textId="77777777" w:rsidR="00EE3DF0" w:rsidRDefault="00EE3DF0" w:rsidP="00EE3DF0">
      <w:r w:rsidRPr="007D22D2">
        <w:rPr>
          <w:b/>
        </w:rPr>
        <w:t>NB</w:t>
      </w:r>
      <w:r w:rsidRPr="007D22D2">
        <w:t>: Excel-malen som er vedlagt rundskrivet skal brukes til å utarbeide tabellen. I tillegg til å inngå i redegjørelsen, skal den utfylte Excel-tabellen vedlegges separat ved innsendelse av regnskapet iht. punkt 7 Teknisk del.</w:t>
      </w:r>
    </w:p>
    <w:p w14:paraId="4B99056E" w14:textId="77777777" w:rsidR="00EE3DF0" w:rsidRDefault="00EE3DF0" w:rsidP="00EE3DF0"/>
    <w:p w14:paraId="1299C43A" w14:textId="77777777" w:rsidR="00EE3DF0" w:rsidRPr="007D22D2" w:rsidRDefault="00EE3DF0" w:rsidP="00EE3DF0"/>
    <w:p w14:paraId="2B3D212C" w14:textId="77777777" w:rsidR="00EE3DF0" w:rsidRDefault="00EE3DF0" w:rsidP="00EE3DF0">
      <w:r>
        <w:t>Merverdiavgiftsloven kapittel 9 og tilhørende forskrift kapittel 9, merverdiavgiftskompensasjonsloven § 16 og tilhørende forskrift § 6 gir reglene for justeringer av henholdsvis merverdiavgift og merverdiavgiftskompensasjon og dokumentasjon av dette. Reglene i mval. om dokumentasjon skal legges til grunn også for justering av merverdiavgiftskompensasjon.</w:t>
      </w:r>
    </w:p>
    <w:p w14:paraId="4DDBEF00" w14:textId="77777777" w:rsidR="00EE3DF0" w:rsidRDefault="00EE3DF0" w:rsidP="00EE3DF0"/>
    <w:p w14:paraId="7E89397A" w14:textId="77777777" w:rsidR="00EE3DF0" w:rsidRDefault="00EE3DF0" w:rsidP="00EE3DF0">
      <w:r>
        <w:t>Status i forhold til justeringsreglene skal fremgå av følgende tabell:</w:t>
      </w:r>
    </w:p>
    <w:tbl>
      <w:tblPr>
        <w:tblStyle w:val="Tabellrutenett"/>
        <w:tblW w:w="9127" w:type="dxa"/>
        <w:tblLook w:val="04A0" w:firstRow="1" w:lastRow="0" w:firstColumn="1" w:lastColumn="0" w:noHBand="0" w:noVBand="1"/>
      </w:tblPr>
      <w:tblGrid>
        <w:gridCol w:w="4195"/>
        <w:gridCol w:w="2494"/>
        <w:gridCol w:w="2438"/>
      </w:tblGrid>
      <w:tr w:rsidR="00EE3DF0" w:rsidRPr="00AC46BC" w14:paraId="5C21B6B1" w14:textId="77777777" w:rsidTr="00C20CAE">
        <w:trPr>
          <w:trHeight w:val="1020"/>
          <w:tblHeader/>
        </w:trPr>
        <w:tc>
          <w:tcPr>
            <w:tcW w:w="4195" w:type="dxa"/>
          </w:tcPr>
          <w:p w14:paraId="5866CF2A" w14:textId="77777777" w:rsidR="00EE3DF0" w:rsidRPr="00AC46BC" w:rsidRDefault="00EE3DF0" w:rsidP="00C20CAE">
            <w:pPr>
              <w:rPr>
                <w:b/>
                <w:sz w:val="18"/>
                <w:szCs w:val="18"/>
              </w:rPr>
            </w:pPr>
            <w:r w:rsidRPr="00AC46BC">
              <w:rPr>
                <w:b/>
                <w:sz w:val="18"/>
                <w:szCs w:val="18"/>
              </w:rPr>
              <w:t>Kontroll</w:t>
            </w:r>
          </w:p>
        </w:tc>
        <w:tc>
          <w:tcPr>
            <w:tcW w:w="2494" w:type="dxa"/>
          </w:tcPr>
          <w:p w14:paraId="1756E08E" w14:textId="77777777" w:rsidR="00EE3DF0" w:rsidRPr="00AC46BC" w:rsidRDefault="00EE3DF0" w:rsidP="00C20CAE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AC46BC">
              <w:rPr>
                <w:b/>
                <w:bCs/>
                <w:sz w:val="18"/>
                <w:szCs w:val="18"/>
              </w:rPr>
              <w:t xml:space="preserve">Justering av merverdiavgift </w:t>
            </w:r>
          </w:p>
          <w:p w14:paraId="581BEEA5" w14:textId="77777777" w:rsidR="00EE3DF0" w:rsidRPr="00AC46BC" w:rsidRDefault="00EE3DF0" w:rsidP="00C20CAE">
            <w:pPr>
              <w:jc w:val="right"/>
            </w:pPr>
            <w:r w:rsidRPr="00AC46BC">
              <w:rPr>
                <w:sz w:val="18"/>
              </w:rPr>
              <w:t>(mval. kap 9, fmval. kap 9)</w:t>
            </w:r>
          </w:p>
        </w:tc>
        <w:tc>
          <w:tcPr>
            <w:tcW w:w="2438" w:type="dxa"/>
          </w:tcPr>
          <w:p w14:paraId="3DF6226C" w14:textId="77777777" w:rsidR="00EE3DF0" w:rsidRPr="00AC46BC" w:rsidRDefault="00EE3DF0" w:rsidP="00C20CAE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AC46BC">
              <w:rPr>
                <w:b/>
                <w:bCs/>
                <w:sz w:val="18"/>
                <w:szCs w:val="18"/>
              </w:rPr>
              <w:t>Justering av merverdi-avgiftskompensasjon</w:t>
            </w:r>
          </w:p>
          <w:p w14:paraId="074693C9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  <w:r w:rsidRPr="00AC46BC">
              <w:rPr>
                <w:sz w:val="18"/>
                <w:szCs w:val="18"/>
              </w:rPr>
              <w:t>(kompl. § 16, fkompl. § 6)</w:t>
            </w:r>
          </w:p>
        </w:tc>
      </w:tr>
      <w:tr w:rsidR="00EE3DF0" w:rsidRPr="00AC46BC" w14:paraId="0A4FEA17" w14:textId="77777777" w:rsidTr="00C20CAE">
        <w:trPr>
          <w:trHeight w:val="567"/>
        </w:trPr>
        <w:tc>
          <w:tcPr>
            <w:tcW w:w="4195" w:type="dxa"/>
          </w:tcPr>
          <w:p w14:paraId="6D96B7B5" w14:textId="77777777" w:rsidR="00EE3DF0" w:rsidRPr="00AC46BC" w:rsidRDefault="00EE3DF0" w:rsidP="00C20CAE">
            <w:pPr>
              <w:pStyle w:val="Ingenmellomrom"/>
              <w:rPr>
                <w:sz w:val="18"/>
              </w:rPr>
            </w:pPr>
            <w:r w:rsidRPr="00AC46BC">
              <w:rPr>
                <w:sz w:val="18"/>
              </w:rPr>
              <w:t xml:space="preserve">Dokumentasjon ved anskaffelse av kapitalvarer er utarbeidet iht. fmval. § 9.1.2 </w:t>
            </w:r>
          </w:p>
        </w:tc>
        <w:tc>
          <w:tcPr>
            <w:tcW w:w="2494" w:type="dxa"/>
          </w:tcPr>
          <w:p w14:paraId="3461D779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14:paraId="3CF2D8B6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</w:p>
        </w:tc>
      </w:tr>
      <w:tr w:rsidR="00EE3DF0" w:rsidRPr="00AC46BC" w14:paraId="54705269" w14:textId="77777777" w:rsidTr="00C20CAE">
        <w:trPr>
          <w:trHeight w:val="567"/>
        </w:trPr>
        <w:tc>
          <w:tcPr>
            <w:tcW w:w="4195" w:type="dxa"/>
          </w:tcPr>
          <w:p w14:paraId="23681196" w14:textId="77777777" w:rsidR="00EE3DF0" w:rsidRPr="00AC46BC" w:rsidRDefault="00EE3DF0" w:rsidP="00C20CAE">
            <w:pPr>
              <w:pStyle w:val="Ingenmellomrom"/>
              <w:rPr>
                <w:sz w:val="18"/>
              </w:rPr>
            </w:pPr>
            <w:r w:rsidRPr="00AC46BC">
              <w:rPr>
                <w:sz w:val="18"/>
              </w:rPr>
              <w:lastRenderedPageBreak/>
              <w:t xml:space="preserve">Dokumentasjon vedr. bruk av kapitalvarer er utarbeidet iht. fmval. § 9.1.3 </w:t>
            </w:r>
          </w:p>
        </w:tc>
        <w:tc>
          <w:tcPr>
            <w:tcW w:w="2494" w:type="dxa"/>
          </w:tcPr>
          <w:p w14:paraId="0FB78278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14:paraId="1FC39945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</w:p>
        </w:tc>
      </w:tr>
      <w:tr w:rsidR="00EE3DF0" w:rsidRPr="00AC46BC" w14:paraId="24A258B8" w14:textId="77777777" w:rsidTr="00C20CAE">
        <w:trPr>
          <w:trHeight w:val="340"/>
        </w:trPr>
        <w:tc>
          <w:tcPr>
            <w:tcW w:w="4195" w:type="dxa"/>
          </w:tcPr>
          <w:p w14:paraId="12FE8AE4" w14:textId="77777777" w:rsidR="00EE3DF0" w:rsidRPr="00AC46BC" w:rsidRDefault="00EE3DF0" w:rsidP="00C20CAE">
            <w:pPr>
              <w:pStyle w:val="Ingenmellomrom"/>
              <w:rPr>
                <w:sz w:val="18"/>
              </w:rPr>
            </w:pPr>
            <w:r w:rsidRPr="00AC46BC">
              <w:rPr>
                <w:sz w:val="18"/>
              </w:rPr>
              <w:t xml:space="preserve">Behov for justering er vurdert </w:t>
            </w:r>
          </w:p>
        </w:tc>
        <w:tc>
          <w:tcPr>
            <w:tcW w:w="2494" w:type="dxa"/>
          </w:tcPr>
          <w:p w14:paraId="0562CB0E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14:paraId="34CE0A41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</w:p>
        </w:tc>
      </w:tr>
      <w:tr w:rsidR="00EE3DF0" w:rsidRPr="00AC46BC" w14:paraId="5476C54B" w14:textId="77777777" w:rsidTr="00C20CAE">
        <w:trPr>
          <w:trHeight w:val="340"/>
        </w:trPr>
        <w:tc>
          <w:tcPr>
            <w:tcW w:w="4195" w:type="dxa"/>
          </w:tcPr>
          <w:p w14:paraId="7920A298" w14:textId="77777777" w:rsidR="00EE3DF0" w:rsidRPr="00AC46BC" w:rsidRDefault="00EE3DF0" w:rsidP="00C20CAE">
            <w:pPr>
              <w:pStyle w:val="Ingenmellomrom"/>
              <w:rPr>
                <w:sz w:val="18"/>
              </w:rPr>
            </w:pPr>
            <w:r w:rsidRPr="00AC46BC">
              <w:rPr>
                <w:sz w:val="18"/>
              </w:rPr>
              <w:t>Det er foretatt justering i termin 6</w:t>
            </w:r>
          </w:p>
        </w:tc>
        <w:tc>
          <w:tcPr>
            <w:tcW w:w="2494" w:type="dxa"/>
          </w:tcPr>
          <w:p w14:paraId="62EBF3C5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14:paraId="6D98A12B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</w:p>
        </w:tc>
      </w:tr>
      <w:tr w:rsidR="00EE3DF0" w:rsidRPr="00AC46BC" w14:paraId="693F3533" w14:textId="77777777" w:rsidTr="00C20CAE">
        <w:trPr>
          <w:trHeight w:val="567"/>
        </w:trPr>
        <w:tc>
          <w:tcPr>
            <w:tcW w:w="4195" w:type="dxa"/>
          </w:tcPr>
          <w:p w14:paraId="0A2B3093" w14:textId="77777777" w:rsidR="00EE3DF0" w:rsidRPr="00AC46BC" w:rsidRDefault="00EE3DF0" w:rsidP="00C20CAE">
            <w:pPr>
              <w:pStyle w:val="Ingenmellomrom"/>
              <w:rPr>
                <w:sz w:val="18"/>
              </w:rPr>
            </w:pPr>
            <w:r w:rsidRPr="00AC46BC">
              <w:rPr>
                <w:sz w:val="18"/>
              </w:rPr>
              <w:t>Dokumentasjon av justeringen iht. fmval. §§ 9.3.3 og 9.7.2 er utarbeidet</w:t>
            </w:r>
          </w:p>
        </w:tc>
        <w:tc>
          <w:tcPr>
            <w:tcW w:w="2494" w:type="dxa"/>
          </w:tcPr>
          <w:p w14:paraId="2946DB82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14:paraId="5997CC1D" w14:textId="77777777" w:rsidR="00EE3DF0" w:rsidRPr="00AC46BC" w:rsidRDefault="00EE3DF0" w:rsidP="00C20CAE">
            <w:pPr>
              <w:jc w:val="right"/>
              <w:rPr>
                <w:sz w:val="18"/>
                <w:szCs w:val="18"/>
              </w:rPr>
            </w:pPr>
          </w:p>
        </w:tc>
      </w:tr>
    </w:tbl>
    <w:p w14:paraId="4153DC8A" w14:textId="77777777" w:rsidR="00EE3DF0" w:rsidRPr="00064186" w:rsidRDefault="00EE3DF0" w:rsidP="00EE3DF0">
      <w:pPr>
        <w:pStyle w:val="Ingenmellomrom"/>
        <w:rPr>
          <w:sz w:val="16"/>
          <w:szCs w:val="16"/>
        </w:rPr>
      </w:pPr>
      <w:r w:rsidRPr="00064186">
        <w:rPr>
          <w:sz w:val="16"/>
          <w:szCs w:val="16"/>
        </w:rPr>
        <w:t>Forkortelser:</w:t>
      </w:r>
    </w:p>
    <w:p w14:paraId="1BEDF459" w14:textId="77777777" w:rsidR="00EE3DF0" w:rsidRPr="00064186" w:rsidRDefault="00EE3DF0" w:rsidP="00EE3DF0">
      <w:pPr>
        <w:pStyle w:val="Ingenmellomrom"/>
        <w:rPr>
          <w:sz w:val="16"/>
          <w:szCs w:val="16"/>
        </w:rPr>
      </w:pPr>
      <w:r w:rsidRPr="00064186">
        <w:rPr>
          <w:sz w:val="16"/>
          <w:szCs w:val="16"/>
        </w:rPr>
        <w:t>fmval. – forskrift 15.12.2009 nr. 1540 til merverdiavgiftsloven (merverdiavgiftsforskriften)</w:t>
      </w:r>
    </w:p>
    <w:p w14:paraId="7BC2338E" w14:textId="77777777" w:rsidR="00EE3DF0" w:rsidRPr="00064186" w:rsidRDefault="00EE3DF0" w:rsidP="00EE3DF0">
      <w:pPr>
        <w:pStyle w:val="Ingenmellomrom"/>
        <w:rPr>
          <w:sz w:val="16"/>
          <w:szCs w:val="16"/>
        </w:rPr>
      </w:pPr>
      <w:r w:rsidRPr="00064186">
        <w:rPr>
          <w:sz w:val="16"/>
          <w:szCs w:val="16"/>
        </w:rPr>
        <w:t>fkompl. – forskrift 12.12.2003 nr. 1566 om kompensasjon av merverdiavgift til kommuner, fylkeskommuner mv. (kompensasjonsforskriften)</w:t>
      </w:r>
    </w:p>
    <w:p w14:paraId="79D964C4" w14:textId="77777777" w:rsidR="00EE3DF0" w:rsidRPr="00064186" w:rsidRDefault="00EE3DF0" w:rsidP="00EE3DF0">
      <w:pPr>
        <w:pStyle w:val="Ingenmellomrom"/>
        <w:rPr>
          <w:sz w:val="16"/>
          <w:szCs w:val="16"/>
        </w:rPr>
      </w:pPr>
      <w:r w:rsidRPr="00064186">
        <w:rPr>
          <w:sz w:val="16"/>
          <w:szCs w:val="16"/>
        </w:rPr>
        <w:t>kompl. – lov 12.12.2003 nr. 108 om kompensasjon av merverdiavgift for kommuner, fylkeskommuner mv.</w:t>
      </w:r>
    </w:p>
    <w:p w14:paraId="4ED1DE58" w14:textId="77777777" w:rsidR="00EE3DF0" w:rsidRPr="00064186" w:rsidRDefault="00EE3DF0" w:rsidP="00EE3DF0">
      <w:pPr>
        <w:pStyle w:val="Ingenmellomrom"/>
        <w:rPr>
          <w:sz w:val="16"/>
          <w:szCs w:val="16"/>
        </w:rPr>
      </w:pPr>
      <w:r w:rsidRPr="00064186">
        <w:rPr>
          <w:sz w:val="16"/>
          <w:szCs w:val="16"/>
        </w:rPr>
        <w:t>mval. – lov 19. juni 2009 nr. 58 om merverdiavgift (merverdiavgiftsloven)</w:t>
      </w:r>
    </w:p>
    <w:p w14:paraId="110FFD37" w14:textId="77777777" w:rsidR="008E6534" w:rsidRDefault="008E6534"/>
    <w:p w14:paraId="6B699379" w14:textId="77777777" w:rsidR="00EE3DF0" w:rsidRDefault="00EE3DF0"/>
    <w:p w14:paraId="3FE9F23F" w14:textId="77777777" w:rsidR="00EE3DF0" w:rsidRDefault="00EE3DF0" w:rsidP="00EE3DF0">
      <w:pPr>
        <w:tabs>
          <w:tab w:val="left" w:pos="1134"/>
        </w:tabs>
        <w:rPr>
          <w:b/>
        </w:rPr>
      </w:pPr>
    </w:p>
    <w:p w14:paraId="10E5D28F" w14:textId="77777777" w:rsidR="00EE3DF0" w:rsidRDefault="00EE3DF0" w:rsidP="00EE3DF0">
      <w:pPr>
        <w:pStyle w:val="Overskrift4"/>
      </w:pPr>
      <w:r>
        <w:t>Kontroll av innberetningspliktige ytelser</w:t>
      </w:r>
    </w:p>
    <w:p w14:paraId="10B4EECE" w14:textId="77777777" w:rsidR="00EE3DF0" w:rsidRDefault="00EE3DF0" w:rsidP="00EE3DF0">
      <w:r>
        <w:t xml:space="preserve">Eventuelle særskilte avvik/forhold som krever en mer utdypende forklaring omtales i noten, </w:t>
      </w:r>
      <w:r w:rsidRPr="004B5A53">
        <w:rPr>
          <w:b/>
        </w:rPr>
        <w:t>men selve oversikten skal ikke tas inn i noten</w:t>
      </w:r>
      <w:r>
        <w:t>.</w:t>
      </w:r>
    </w:p>
    <w:p w14:paraId="1F72F646" w14:textId="77777777" w:rsidR="00EE3DF0" w:rsidRPr="00C50E5D" w:rsidRDefault="00EE3DF0" w:rsidP="00EE3DF0">
      <w:pPr>
        <w:tabs>
          <w:tab w:val="left" w:pos="1134"/>
        </w:tabs>
        <w:rPr>
          <w:b/>
        </w:rPr>
      </w:pPr>
    </w:p>
    <w:p w14:paraId="042C45F6" w14:textId="77777777" w:rsidR="00EE3DF0" w:rsidRDefault="00EE3DF0" w:rsidP="00EE3DF0">
      <w:r>
        <w:t>Kommunen skal utarbeide en samlet avstemming av lønnsinnberettede ytelser mot regnskapsførte i forbindelse med innberetningen av oppgavepliktige ytelser. Det skal ikke forekomme differanser mellom innrapportert fra HR-systemet og regnskapsført i Agresso økonomi ved årets slutt.</w:t>
      </w:r>
    </w:p>
    <w:p w14:paraId="08CE6F91" w14:textId="77777777" w:rsidR="00EE3DF0" w:rsidRDefault="00EE3DF0" w:rsidP="00EE3DF0"/>
    <w:p w14:paraId="7332E70F" w14:textId="4E7F2AFE" w:rsidR="00EE3DF0" w:rsidRDefault="00EE3DF0" w:rsidP="00EE3DF0">
      <w:r>
        <w:t>UKE v/Team regnskapsrapportering har hver måned i 202</w:t>
      </w:r>
      <w:r w:rsidR="7004E0AB">
        <w:t>2</w:t>
      </w:r>
      <w:r>
        <w:t xml:space="preserve"> satt opp de samlede oversiktene over oppgavepliktige arter HR-systemet og Agresso økonomi for hver enkelt virksomhet. Oversikter med avvik har blitt sendt aktuell virksomhet for kontroll og korreksjon. I forbindelse med årsavslutningen vil UKE v/ Team regnskapsrapportering sette opp og sende ut denne oversikten til alle virksomheter, uavhengig av om det finnes avvik. Virksomheten skal undersøke og forklare eventuelle avvik direkte i merknadskolonnen i den tilsendte oversikten. Denne skal arkiveres lokalt som dokumentasjon på at avstemmingen er foretatt. </w:t>
      </w:r>
    </w:p>
    <w:p w14:paraId="61CDCEAD" w14:textId="77777777" w:rsidR="00EE3DF0" w:rsidRDefault="00EE3DF0" w:rsidP="00EE3DF0"/>
    <w:p w14:paraId="48D9A0D7" w14:textId="77777777" w:rsidR="00EE3DF0" w:rsidRDefault="00EE3DF0" w:rsidP="00EE3DF0">
      <w:r>
        <w:t xml:space="preserve">Eventuelle særskilte avvik/forhold som krever en mer utdypende forklaring omtales i noten, </w:t>
      </w:r>
      <w:r w:rsidRPr="004B5A53">
        <w:rPr>
          <w:b/>
        </w:rPr>
        <w:t>men selve oversikten skal ikke tas inn i noten</w:t>
      </w:r>
      <w:r>
        <w:t>.</w:t>
      </w:r>
    </w:p>
    <w:p w14:paraId="6BB9E253" w14:textId="77777777" w:rsidR="00EE3DF0" w:rsidRPr="00975D6E" w:rsidRDefault="00EE3DF0" w:rsidP="00EE3DF0">
      <w:pPr>
        <w:tabs>
          <w:tab w:val="left" w:pos="1134"/>
        </w:tabs>
      </w:pPr>
    </w:p>
    <w:p w14:paraId="23DE523C" w14:textId="77777777" w:rsidR="00EE3DF0" w:rsidRPr="00975D6E" w:rsidRDefault="00EE3DF0" w:rsidP="00EE3DF0">
      <w:pPr>
        <w:tabs>
          <w:tab w:val="left" w:pos="1134"/>
        </w:tabs>
      </w:pPr>
    </w:p>
    <w:p w14:paraId="52E56223" w14:textId="77777777" w:rsidR="00EE3DF0" w:rsidRDefault="00EE3DF0"/>
    <w:sectPr w:rsidR="00EE3D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9315" w14:textId="77777777" w:rsidR="00EE3DF0" w:rsidRDefault="00EE3DF0" w:rsidP="00EE3DF0">
      <w:r>
        <w:separator/>
      </w:r>
    </w:p>
  </w:endnote>
  <w:endnote w:type="continuationSeparator" w:id="0">
    <w:p w14:paraId="6537F28F" w14:textId="77777777" w:rsidR="00EE3DF0" w:rsidRDefault="00EE3DF0" w:rsidP="00EE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B9BD5" w:themeColor="accent1"/>
      </w:rPr>
      <w:id w:val="-2041734522"/>
      <w:docPartObj>
        <w:docPartGallery w:val="Page Numbers (Bottom of Page)"/>
        <w:docPartUnique/>
      </w:docPartObj>
    </w:sdtPr>
    <w:sdtEndPr/>
    <w:sdtContent>
      <w:sdt>
        <w:sdtPr>
          <w:rPr>
            <w:color w:val="5B9BD5" w:themeColor="accent1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CE2010" w14:textId="23E03288" w:rsidR="00484F66" w:rsidRPr="00484F66" w:rsidRDefault="00484F66" w:rsidP="00484F66">
            <w:pPr>
              <w:pStyle w:val="Bunntekst"/>
              <w:jc w:val="right"/>
              <w:rPr>
                <w:color w:val="5B9BD5" w:themeColor="accent1"/>
              </w:rPr>
            </w:pPr>
            <w:r w:rsidRPr="00484F66">
              <w:rPr>
                <w:color w:val="5B9BD5" w:themeColor="accent1"/>
              </w:rPr>
              <w:t xml:space="preserve">Side </w:t>
            </w:r>
            <w:r w:rsidRPr="00484F66">
              <w:rPr>
                <w:b/>
                <w:bCs/>
                <w:color w:val="5B9BD5" w:themeColor="accent1"/>
                <w:sz w:val="24"/>
                <w:szCs w:val="24"/>
              </w:rPr>
              <w:fldChar w:fldCharType="begin"/>
            </w:r>
            <w:r w:rsidRPr="00484F66">
              <w:rPr>
                <w:b/>
                <w:bCs/>
                <w:color w:val="5B9BD5" w:themeColor="accent1"/>
              </w:rPr>
              <w:instrText>PAGE</w:instrText>
            </w:r>
            <w:r w:rsidRPr="00484F66">
              <w:rPr>
                <w:b/>
                <w:bCs/>
                <w:color w:val="5B9BD5" w:themeColor="accent1"/>
                <w:sz w:val="24"/>
                <w:szCs w:val="24"/>
              </w:rPr>
              <w:fldChar w:fldCharType="separate"/>
            </w:r>
            <w:r w:rsidR="007618D2">
              <w:rPr>
                <w:b/>
                <w:bCs/>
                <w:noProof/>
                <w:color w:val="5B9BD5" w:themeColor="accent1"/>
              </w:rPr>
              <w:t>3</w:t>
            </w:r>
            <w:r w:rsidRPr="00484F66">
              <w:rPr>
                <w:b/>
                <w:bCs/>
                <w:color w:val="5B9BD5" w:themeColor="accent1"/>
                <w:sz w:val="24"/>
                <w:szCs w:val="24"/>
              </w:rPr>
              <w:fldChar w:fldCharType="end"/>
            </w:r>
            <w:r w:rsidRPr="00484F66">
              <w:rPr>
                <w:color w:val="5B9BD5" w:themeColor="accent1"/>
              </w:rPr>
              <w:t xml:space="preserve"> av </w:t>
            </w:r>
            <w:r w:rsidRPr="00484F66">
              <w:rPr>
                <w:b/>
                <w:bCs/>
                <w:color w:val="5B9BD5" w:themeColor="accent1"/>
                <w:sz w:val="24"/>
                <w:szCs w:val="24"/>
              </w:rPr>
              <w:fldChar w:fldCharType="begin"/>
            </w:r>
            <w:r w:rsidRPr="00484F66">
              <w:rPr>
                <w:b/>
                <w:bCs/>
                <w:color w:val="5B9BD5" w:themeColor="accent1"/>
              </w:rPr>
              <w:instrText>NUMPAGES</w:instrText>
            </w:r>
            <w:r w:rsidRPr="00484F66">
              <w:rPr>
                <w:b/>
                <w:bCs/>
                <w:color w:val="5B9BD5" w:themeColor="accent1"/>
                <w:sz w:val="24"/>
                <w:szCs w:val="24"/>
              </w:rPr>
              <w:fldChar w:fldCharType="separate"/>
            </w:r>
            <w:r w:rsidR="007618D2">
              <w:rPr>
                <w:b/>
                <w:bCs/>
                <w:noProof/>
                <w:color w:val="5B9BD5" w:themeColor="accent1"/>
              </w:rPr>
              <w:t>3</w:t>
            </w:r>
            <w:r w:rsidRPr="00484F66">
              <w:rPr>
                <w:b/>
                <w:bCs/>
                <w:color w:val="5B9BD5" w:themeColor="accent1"/>
                <w:sz w:val="24"/>
                <w:szCs w:val="24"/>
              </w:rPr>
              <w:fldChar w:fldCharType="end"/>
            </w:r>
          </w:p>
        </w:sdtContent>
      </w:sdt>
    </w:sdtContent>
  </w:sdt>
  <w:p w14:paraId="07547A01" w14:textId="77777777" w:rsidR="00484F66" w:rsidRDefault="00484F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9E20" w14:textId="77777777" w:rsidR="00EE3DF0" w:rsidRDefault="00EE3DF0" w:rsidP="00EE3DF0">
      <w:r>
        <w:separator/>
      </w:r>
    </w:p>
  </w:footnote>
  <w:footnote w:type="continuationSeparator" w:id="0">
    <w:p w14:paraId="70DF9E56" w14:textId="77777777" w:rsidR="00EE3DF0" w:rsidRDefault="00EE3DF0" w:rsidP="00EE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EA92" w14:textId="2CDA5E4B" w:rsidR="00EE3DF0" w:rsidRPr="00E572A8" w:rsidRDefault="00EE3DF0" w:rsidP="00EE3DF0">
    <w:pPr>
      <w:pStyle w:val="Topptekst"/>
      <w:tabs>
        <w:tab w:val="clear" w:pos="4536"/>
      </w:tabs>
      <w:rPr>
        <w:sz w:val="18"/>
        <w:szCs w:val="18"/>
      </w:rPr>
    </w:pPr>
    <w:r w:rsidRPr="00E572A8">
      <w:rPr>
        <w:sz w:val="18"/>
        <w:szCs w:val="18"/>
      </w:rPr>
      <w:t>Oslo kommune</w:t>
    </w:r>
    <w:r w:rsidRPr="00E572A8">
      <w:rPr>
        <w:sz w:val="18"/>
        <w:szCs w:val="18"/>
      </w:rPr>
      <w:tab/>
      <w:t xml:space="preserve">Vedlegg </w:t>
    </w:r>
    <w:r w:rsidR="00DC6C4C">
      <w:rPr>
        <w:sz w:val="18"/>
        <w:szCs w:val="18"/>
      </w:rPr>
      <w:t>7</w:t>
    </w:r>
  </w:p>
  <w:p w14:paraId="39925D92" w14:textId="0C8230AE" w:rsidR="00EE3DF0" w:rsidRPr="00E572A8" w:rsidRDefault="00EE3DF0" w:rsidP="00EE3DF0">
    <w:pPr>
      <w:pStyle w:val="Topptekst"/>
      <w:tabs>
        <w:tab w:val="clear" w:pos="4536"/>
      </w:tabs>
      <w:rPr>
        <w:sz w:val="18"/>
        <w:szCs w:val="18"/>
        <w:u w:val="single"/>
      </w:rPr>
    </w:pPr>
    <w:r w:rsidRPr="00E572A8">
      <w:rPr>
        <w:sz w:val="18"/>
        <w:szCs w:val="18"/>
        <w:u w:val="single"/>
      </w:rPr>
      <w:t>Byrådsavdeling for finans</w:t>
    </w:r>
    <w:r w:rsidRPr="00E572A8">
      <w:rPr>
        <w:sz w:val="18"/>
        <w:szCs w:val="18"/>
        <w:u w:val="single"/>
      </w:rPr>
      <w:tab/>
      <w:t>Årsavslutning 202</w:t>
    </w:r>
    <w:r w:rsidR="00DC6C4C">
      <w:rPr>
        <w:sz w:val="18"/>
        <w:szCs w:val="18"/>
        <w:u w:val="single"/>
      </w:rPr>
      <w:t>2</w:t>
    </w:r>
  </w:p>
  <w:p w14:paraId="5043CB0F" w14:textId="77777777" w:rsidR="00EE3DF0" w:rsidRDefault="00EE3DF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F0"/>
    <w:rsid w:val="00484F66"/>
    <w:rsid w:val="007618D2"/>
    <w:rsid w:val="008E6534"/>
    <w:rsid w:val="0090633F"/>
    <w:rsid w:val="00DC6C4C"/>
    <w:rsid w:val="00EE3DF0"/>
    <w:rsid w:val="17E374EF"/>
    <w:rsid w:val="7004E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E1C3"/>
  <w15:chartTrackingRefBased/>
  <w15:docId w15:val="{0EBD65FB-74DE-450E-8C90-0721CC0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F0"/>
    <w:pPr>
      <w:spacing w:after="0" w:line="240" w:lineRule="auto"/>
    </w:pPr>
    <w:rPr>
      <w:rFonts w:ascii="Oslo Sans Office" w:hAnsi="Oslo Sans Office"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E3DF0"/>
    <w:pPr>
      <w:keepNext/>
      <w:keepLines/>
      <w:spacing w:before="40" w:after="60"/>
      <w:ind w:left="964" w:hanging="964"/>
      <w:outlineLvl w:val="3"/>
    </w:pPr>
    <w:rPr>
      <w:rFonts w:eastAsiaTheme="majorEastAsia" w:cstheme="majorBidi"/>
      <w:b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EE3DF0"/>
    <w:rPr>
      <w:rFonts w:ascii="Oslo Sans Office" w:eastAsiaTheme="majorEastAsia" w:hAnsi="Oslo Sans Office" w:cstheme="majorBidi"/>
      <w:b/>
      <w:i/>
      <w:iCs/>
      <w:color w:val="2E74B5" w:themeColor="accent1" w:themeShade="BF"/>
      <w:sz w:val="20"/>
    </w:rPr>
  </w:style>
  <w:style w:type="paragraph" w:styleId="Ingenmellomrom">
    <w:name w:val="No Spacing"/>
    <w:uiPriority w:val="1"/>
    <w:qFormat/>
    <w:rsid w:val="00EE3DF0"/>
    <w:pPr>
      <w:spacing w:after="0" w:line="240" w:lineRule="auto"/>
    </w:pPr>
    <w:rPr>
      <w:rFonts w:ascii="Oslo Sans Office" w:hAnsi="Oslo Sans Office"/>
      <w:sz w:val="20"/>
    </w:rPr>
  </w:style>
  <w:style w:type="table" w:styleId="Tabellrutenett">
    <w:name w:val="Table Grid"/>
    <w:basedOn w:val="Vanligtabell"/>
    <w:rsid w:val="00EE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E3DF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E3DF0"/>
    <w:rPr>
      <w:rFonts w:ascii="Oslo Sans Office" w:hAnsi="Oslo Sans Office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EE3DF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E3DF0"/>
    <w:rPr>
      <w:rFonts w:ascii="Oslo Sans Office" w:hAnsi="Oslo Sans Offic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0F38"/>
    <w:rsid w:val="00E5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C27A78E525240AB36E494151E225C" ma:contentTypeVersion="8" ma:contentTypeDescription="Create a new document." ma:contentTypeScope="" ma:versionID="ebaacabea92ca95c46f93bdd9f332a70">
  <xsd:schema xmlns:xsd="http://www.w3.org/2001/XMLSchema" xmlns:xs="http://www.w3.org/2001/XMLSchema" xmlns:p="http://schemas.microsoft.com/office/2006/metadata/properties" xmlns:ns3="60ff40d1-171c-48df-99a4-45356be02e25" targetNamespace="http://schemas.microsoft.com/office/2006/metadata/properties" ma:root="true" ma:fieldsID="186f178a586188bb3786a638329b7cee" ns3:_="">
    <xsd:import namespace="60ff40d1-171c-48df-99a4-45356be02e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40d1-171c-48df-99a4-45356be0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E511F-1214-412C-A934-213979E8D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BFD76-D89F-44CE-B94F-F9D74C007C3E}">
  <ds:schemaRefs>
    <ds:schemaRef ds:uri="http://schemas.microsoft.com/office/infopath/2007/PartnerControls"/>
    <ds:schemaRef ds:uri="60ff40d1-171c-48df-99a4-45356be02e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745804-AE0B-46F0-881C-BC2C138E2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f40d1-171c-48df-99a4-45356be02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5007</Characters>
  <Application>Microsoft Office Word</Application>
  <DocSecurity>4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Johan Hertzberg</dc:creator>
  <cp:keywords/>
  <dc:description/>
  <cp:lastModifiedBy>Trond Bue</cp:lastModifiedBy>
  <cp:revision>2</cp:revision>
  <dcterms:created xsi:type="dcterms:W3CDTF">2022-11-17T09:21:00Z</dcterms:created>
  <dcterms:modified xsi:type="dcterms:W3CDTF">2022-11-17T09:21:00Z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0x010100F1DC27A78E525240AB36E494151E225C</vt:lpwstr>
  </property>
  <property fmtid="{D5CDD505-2E9C-101B-9397-08002B2CF9AE}" pid="3" name="Order">
    <vt:r8>100</vt:r8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2022-11-02T09:13:19Z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4e395632-4bd6-45ca-b4ae-f070f6ae166b</vt:lpwstr>
  </property>
  <property fmtid="{D5CDD505-2E9C-101B-9397-08002B2CF9AE}" pid="10" name="MSIP_Label_7a2396b7-5846-48ff-8468-5f49f8ad722a_ContentBits">
    <vt:lpwstr>0</vt:lpwstr>
  </property>
</Properties>
</file>